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6866F4"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6866F4">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4DFA7D99" w:rsidR="00445CAF" w:rsidRPr="00D65657" w:rsidRDefault="00E2688D" w:rsidP="007F1C88">
      <w:pPr>
        <w:pStyle w:val="Heading1"/>
      </w:pPr>
      <w:r>
        <w:t xml:space="preserve">ARTS </w:t>
      </w:r>
      <w:r w:rsidR="00757954">
        <w:t>23</w:t>
      </w:r>
      <w:r w:rsidR="00B45F69">
        <w:t>6</w:t>
      </w:r>
      <w:r w:rsidR="00757954">
        <w:t>6</w:t>
      </w:r>
      <w:r w:rsidR="00445CAF" w:rsidRPr="00D65657">
        <w:t xml:space="preserve">: </w:t>
      </w:r>
      <w:r w:rsidR="00B45F69">
        <w:t>Watercolor</w:t>
      </w:r>
      <w:r w:rsidR="00D32C3F">
        <w:t xml:space="preserve"> I</w:t>
      </w:r>
      <w:r w:rsidR="002A7F66">
        <w:t xml:space="preserve"> </w:t>
      </w:r>
      <w:r w:rsidR="001D791A" w:rsidRPr="00D65657">
        <w:t>|</w:t>
      </w:r>
      <w:r w:rsidR="008417BF" w:rsidRPr="00D65657">
        <w:t xml:space="preserve"> Lecture</w:t>
      </w:r>
      <w:r w:rsidR="00D32C3F">
        <w:t>/Lab</w:t>
      </w:r>
      <w:r w:rsidR="001D791A" w:rsidRPr="00D65657">
        <w:t xml:space="preserve"> | #12345</w:t>
      </w:r>
    </w:p>
    <w:p w14:paraId="2335366D" w14:textId="59B64D40" w:rsidR="001D791A" w:rsidRPr="00E2688D" w:rsidRDefault="00270393" w:rsidP="00270393">
      <w:pPr>
        <w:jc w:val="center"/>
        <w:rPr>
          <w:color w:val="FF0000"/>
          <w:sz w:val="24"/>
          <w:szCs w:val="24"/>
        </w:rPr>
      </w:pPr>
      <w:r w:rsidRPr="00E2688D">
        <w:rPr>
          <w:color w:val="FF0000"/>
          <w:sz w:val="24"/>
          <w:szCs w:val="24"/>
        </w:rPr>
        <w:t xml:space="preserve">Fall </w:t>
      </w:r>
      <w:r w:rsidR="00B36F79">
        <w:rPr>
          <w:color w:val="FF0000"/>
          <w:sz w:val="24"/>
          <w:szCs w:val="24"/>
        </w:rPr>
        <w:t>2020</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E9B21F8" w14:textId="77777777" w:rsidR="00300E71" w:rsidRPr="008C50AE" w:rsidRDefault="00300E71" w:rsidP="00300E71">
      <w:pPr>
        <w:rPr>
          <w:sz w:val="22"/>
        </w:rPr>
      </w:pPr>
      <w:r w:rsidRPr="008C50AE">
        <w:rPr>
          <w:sz w:val="22"/>
        </w:rPr>
        <w:t>This course, an introduction to Art through watercolor, fosters an appreciation for watercolor and develops critical and observational skills necessary for the creation, analysis, and interpretation of artworks in watercolor. Through lecture, studio experience, and critique, students will examine the historical and contemporary significance of watercolor. Students will create watercolors and learn various approaches, styles, techniques and media associated with watercolor, as well as Elements and Principles of Design</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2F6E9A2E" w:rsidR="00982F96" w:rsidRPr="00EC40DD" w:rsidRDefault="00EC40DD" w:rsidP="000C78A3">
      <w:pPr>
        <w:rPr>
          <w:color w:val="FF0000"/>
          <w:sz w:val="22"/>
          <w:szCs w:val="22"/>
        </w:rPr>
      </w:pPr>
      <w:r w:rsidRPr="009F7E01">
        <w:rPr>
          <w:color w:val="000000" w:themeColor="text1"/>
          <w:sz w:val="22"/>
          <w:szCs w:val="22"/>
        </w:rPr>
        <w:t xml:space="preserve">Welcome to </w:t>
      </w:r>
      <w:r w:rsidR="00300E71">
        <w:rPr>
          <w:color w:val="000000" w:themeColor="text1"/>
          <w:sz w:val="22"/>
          <w:szCs w:val="22"/>
        </w:rPr>
        <w:t>Watercolor</w:t>
      </w:r>
      <w:r w:rsidR="00A97226">
        <w:rPr>
          <w:color w:val="000000" w:themeColor="text1"/>
          <w:sz w:val="22"/>
          <w:szCs w:val="22"/>
        </w:rPr>
        <w:t xml:space="preserve"> I</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w:t>
      </w:r>
      <w:r w:rsidR="00CB05EB" w:rsidRPr="00EC40DD">
        <w:rPr>
          <w:color w:val="FF0000"/>
          <w:sz w:val="22"/>
          <w:szCs w:val="22"/>
        </w:rPr>
        <w:lastRenderedPageBreak/>
        <w:t xml:space="preserve">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26B554D1" w14:textId="77777777" w:rsidR="00300E71" w:rsidRDefault="00300E71" w:rsidP="00300E71">
      <w:pPr>
        <w:rPr>
          <w:rFonts w:cs="Arial"/>
          <w:sz w:val="22"/>
          <w:szCs w:val="22"/>
        </w:rPr>
      </w:pPr>
      <w:r>
        <w:rPr>
          <w:rFonts w:cs="Arial"/>
          <w:sz w:val="22"/>
          <w:szCs w:val="22"/>
        </w:rPr>
        <w:t>None</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18C25A7F" w14:textId="77777777" w:rsidR="00A97226" w:rsidRDefault="00A97226" w:rsidP="00A97226">
      <w:pPr>
        <w:spacing w:line="276" w:lineRule="auto"/>
        <w:rPr>
          <w:rFonts w:cs="Arial"/>
          <w:color w:val="FF0000"/>
          <w:sz w:val="24"/>
          <w:szCs w:val="24"/>
        </w:rPr>
      </w:pPr>
      <w:r w:rsidRPr="009C5D9F">
        <w:rPr>
          <w:rFonts w:cs="Arial"/>
          <w:color w:val="FF0000"/>
          <w:sz w:val="24"/>
          <w:szCs w:val="24"/>
        </w:rPr>
        <w:t>Instructors: Add your Supply List</w:t>
      </w:r>
    </w:p>
    <w:p w14:paraId="4EFA0E50" w14:textId="77777777" w:rsidR="00617C46" w:rsidRPr="00A508B4" w:rsidRDefault="00617C46" w:rsidP="00617C46">
      <w:pPr>
        <w:spacing w:line="276" w:lineRule="auto"/>
        <w:rPr>
          <w:rFonts w:cs="Arial"/>
          <w:sz w:val="24"/>
          <w:szCs w:val="24"/>
        </w:rPr>
      </w:pPr>
    </w:p>
    <w:p w14:paraId="3DAB08C2" w14:textId="77777777" w:rsidR="00F7570B" w:rsidRPr="00A508B4" w:rsidRDefault="00F7570B" w:rsidP="00617C46">
      <w:pPr>
        <w:pStyle w:val="Heading2"/>
      </w:pPr>
      <w:r w:rsidRPr="00A508B4">
        <w:t>Temporary Free Access to E-Book</w:t>
      </w:r>
    </w:p>
    <w:p w14:paraId="1A7DFCBC" w14:textId="77777777" w:rsidR="0025433F" w:rsidRPr="0025433F" w:rsidRDefault="0025433F" w:rsidP="00F7570B">
      <w:pPr>
        <w:rPr>
          <w:sz w:val="22"/>
          <w:szCs w:val="22"/>
        </w:rPr>
      </w:pPr>
    </w:p>
    <w:p w14:paraId="657BCE65" w14:textId="03D1979D" w:rsidR="00F7570B" w:rsidRPr="00617C46" w:rsidRDefault="00E210F9" w:rsidP="00F7570B">
      <w:pPr>
        <w:rPr>
          <w:color w:val="FF0000"/>
          <w:sz w:val="22"/>
          <w:szCs w:val="22"/>
        </w:rPr>
      </w:pPr>
      <w:r w:rsidRPr="00617C46">
        <w:rPr>
          <w:color w:val="FF0000"/>
          <w:sz w:val="22"/>
          <w:szCs w:val="22"/>
        </w:rPr>
        <w:t>Here is the link</w:t>
      </w:r>
      <w:r w:rsidR="00F7570B" w:rsidRPr="00617C46">
        <w:rPr>
          <w:color w:val="FF0000"/>
          <w:sz w:val="22"/>
          <w:szCs w:val="22"/>
        </w:rPr>
        <w:t xml:space="preserve"> to get temporary free access to a digital version of the text for fourteen days:</w:t>
      </w:r>
    </w:p>
    <w:p w14:paraId="6BF695D6" w14:textId="0E1ED7BD" w:rsidR="00E210F9" w:rsidRPr="00617C46" w:rsidRDefault="009F7E01" w:rsidP="00F7570B">
      <w:pPr>
        <w:rPr>
          <w:b/>
          <w:color w:val="FF0000"/>
          <w:sz w:val="22"/>
          <w:szCs w:val="22"/>
        </w:rPr>
      </w:pPr>
      <w:r w:rsidRPr="00617C46">
        <w:rPr>
          <w:b/>
          <w:color w:val="FF0000"/>
          <w:sz w:val="22"/>
          <w:szCs w:val="22"/>
        </w:rPr>
        <w:t xml:space="preserve">&lt;&lt; </w:t>
      </w:r>
      <w:r w:rsidR="00E210F9" w:rsidRPr="00617C46">
        <w:rPr>
          <w:b/>
          <w:color w:val="FF0000"/>
          <w:sz w:val="22"/>
          <w:szCs w:val="22"/>
        </w:rPr>
        <w:t>[add link]</w:t>
      </w:r>
      <w:r w:rsidRPr="00617C46">
        <w:rPr>
          <w:b/>
          <w:color w:val="FF0000"/>
          <w:sz w:val="22"/>
          <w:szCs w:val="22"/>
        </w:rPr>
        <w:t xml:space="preserve"> &gt;&gt;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617C46" w:rsidRDefault="005F10AA" w:rsidP="005F10AA">
      <w:pPr>
        <w:rPr>
          <w:color w:val="FF0000"/>
          <w:sz w:val="22"/>
          <w:szCs w:val="22"/>
        </w:rPr>
      </w:pPr>
      <w:r w:rsidRPr="00617C46">
        <w:rPr>
          <w:b/>
          <w:color w:val="FF0000"/>
          <w:sz w:val="22"/>
          <w:szCs w:val="22"/>
        </w:rPr>
        <w:t>&lt;&lt; Insert information about how you will be using the Publisher’s digital workbook in your course.  If you do not require a digital workbook</w:t>
      </w:r>
      <w:r w:rsidR="00647DEA" w:rsidRPr="00617C46">
        <w:rPr>
          <w:b/>
          <w:color w:val="FF0000"/>
          <w:sz w:val="22"/>
          <w:szCs w:val="22"/>
        </w:rPr>
        <w:t xml:space="preserve">, you can delete this section. </w:t>
      </w:r>
      <w:r w:rsidRPr="00617C46">
        <w:rPr>
          <w:b/>
          <w:color w:val="FF0000"/>
          <w:sz w:val="22"/>
          <w:szCs w:val="22"/>
        </w:rPr>
        <w:t>&gt;&gt;</w:t>
      </w:r>
      <w:r w:rsidR="00F7570B" w:rsidRPr="00617C46">
        <w:rPr>
          <w:color w:val="FF0000"/>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C1E59F3" w14:textId="66A411BD" w:rsidR="00300E71" w:rsidRPr="00B36F79" w:rsidRDefault="00300E71" w:rsidP="00B36F79">
      <w:pPr>
        <w:rPr>
          <w:rFonts w:cs="Arial"/>
          <w:sz w:val="22"/>
        </w:rPr>
      </w:pPr>
      <w:r w:rsidRPr="00814098">
        <w:rPr>
          <w:rFonts w:cs="Arial"/>
          <w:sz w:val="22"/>
        </w:rPr>
        <w:t xml:space="preserve">ARTS 2366 is </w:t>
      </w:r>
      <w:r w:rsidR="00B36F79">
        <w:rPr>
          <w:rFonts w:cs="Arial"/>
          <w:sz w:val="22"/>
        </w:rPr>
        <w:t>a s</w:t>
      </w:r>
      <w:r w:rsidR="00B36F79" w:rsidRPr="00B36F79">
        <w:rPr>
          <w:rFonts w:cs="Arial"/>
          <w:sz w:val="22"/>
        </w:rPr>
        <w:t>tudio art course that introduces the fundamental principles, materials, and techniques of watercolor and other water-based media</w:t>
      </w:r>
      <w:r w:rsidR="00B36F79" w:rsidRPr="00B36F79">
        <w:rPr>
          <w:rFonts w:cs="Arial"/>
          <w:sz w:val="22"/>
          <w:szCs w:val="22"/>
        </w:rPr>
        <w:t xml:space="preserve"> </w:t>
      </w:r>
      <w:r w:rsidRPr="00814098">
        <w:rPr>
          <w:rFonts w:cs="Arial"/>
          <w:sz w:val="22"/>
          <w:szCs w:val="22"/>
        </w:rPr>
        <w:t>(ACGM). It is a studio course that explores watercolor media with an emphasis on color, composition, self-expression and technique.</w:t>
      </w:r>
    </w:p>
    <w:p w14:paraId="0DFB968B" w14:textId="403C0FF4" w:rsidR="00F10D32" w:rsidRDefault="00F10D32" w:rsidP="00526321">
      <w:pPr>
        <w:pStyle w:val="BodyText"/>
        <w:rPr>
          <w:color w:val="auto"/>
          <w:sz w:val="22"/>
          <w:szCs w:val="22"/>
        </w:rPr>
      </w:pPr>
    </w:p>
    <w:p w14:paraId="47BC185B" w14:textId="77777777" w:rsidR="00445D0B" w:rsidRPr="00316208" w:rsidRDefault="00445D0B" w:rsidP="00445D0B">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15FF4622" w14:textId="77777777" w:rsidR="00445D0B" w:rsidRPr="00BD7A35" w:rsidRDefault="00445D0B" w:rsidP="00445D0B">
      <w:pPr>
        <w:rPr>
          <w:b/>
          <w:u w:val="single"/>
        </w:rPr>
      </w:pPr>
    </w:p>
    <w:p w14:paraId="7D324F7A" w14:textId="77777777" w:rsidR="00445D0B" w:rsidRPr="00BD7A35" w:rsidRDefault="00445D0B" w:rsidP="00445D0B">
      <w:pPr>
        <w:rPr>
          <w:b/>
          <w:u w:val="single"/>
        </w:rPr>
      </w:pPr>
      <w:r w:rsidRPr="00BD7A35">
        <w:rPr>
          <w:b/>
          <w:u w:val="single"/>
        </w:rPr>
        <w:t>FC</w:t>
      </w:r>
    </w:p>
    <w:p w14:paraId="0E200651" w14:textId="77777777" w:rsidR="00445D0B" w:rsidRPr="00BD7A35" w:rsidRDefault="00445D0B" w:rsidP="00445D0B">
      <w:r w:rsidRPr="00BD7A35">
        <w:t xml:space="preserve">The course modality of this class is </w:t>
      </w:r>
      <w:proofErr w:type="spellStart"/>
      <w:r w:rsidRPr="00BD7A35">
        <w:rPr>
          <w:i/>
          <w:iCs/>
        </w:rPr>
        <w:t>flexCampus</w:t>
      </w:r>
      <w:proofErr w:type="spellEnd"/>
      <w:r w:rsidRPr="00BD7A35">
        <w:t>.</w:t>
      </w:r>
    </w:p>
    <w:p w14:paraId="7D9F02CD" w14:textId="77777777" w:rsidR="00445D0B" w:rsidRPr="00BD7A35" w:rsidRDefault="00445D0B" w:rsidP="00445D0B">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583B6736" w14:textId="77777777" w:rsidR="00445D0B" w:rsidRPr="00BD7A35" w:rsidRDefault="00445D0B" w:rsidP="00445D0B">
      <w:r w:rsidRPr="00BD7A35">
        <w:t xml:space="preserve">On the days when you are not assigned to be in person, it is expected that you will attend virtually (online). </w:t>
      </w:r>
    </w:p>
    <w:p w14:paraId="79F35C74" w14:textId="77777777" w:rsidR="00445D0B" w:rsidRPr="00BD7A35" w:rsidRDefault="00445D0B" w:rsidP="00445D0B">
      <w:r w:rsidRPr="00BD7A35">
        <w:t>Attendance will be taken each class period.</w:t>
      </w:r>
    </w:p>
    <w:p w14:paraId="082EC62E" w14:textId="77777777" w:rsidR="00445D0B" w:rsidRPr="00BD7A35" w:rsidRDefault="00445D0B" w:rsidP="00445D0B">
      <w:pPr>
        <w:rPr>
          <w:b/>
          <w:u w:val="single"/>
        </w:rPr>
      </w:pPr>
    </w:p>
    <w:p w14:paraId="057585E4" w14:textId="77777777" w:rsidR="00445D0B" w:rsidRPr="00BD7A35" w:rsidRDefault="00445D0B" w:rsidP="00445D0B">
      <w:pPr>
        <w:rPr>
          <w:b/>
          <w:u w:val="single"/>
        </w:rPr>
      </w:pPr>
      <w:r w:rsidRPr="00BD7A35">
        <w:rPr>
          <w:b/>
          <w:u w:val="single"/>
        </w:rPr>
        <w:t>WS</w:t>
      </w:r>
    </w:p>
    <w:p w14:paraId="089E31A1" w14:textId="77777777" w:rsidR="00445D0B" w:rsidRPr="00BD7A35" w:rsidRDefault="00445D0B" w:rsidP="00445D0B">
      <w:r w:rsidRPr="00BD7A35">
        <w:t xml:space="preserve">The course modality of this class is </w:t>
      </w:r>
      <w:r w:rsidRPr="00BD7A35">
        <w:rPr>
          <w:i/>
          <w:iCs/>
        </w:rPr>
        <w:t>online on A Schedule</w:t>
      </w:r>
      <w:r w:rsidRPr="00BD7A35">
        <w:t>.</w:t>
      </w:r>
    </w:p>
    <w:p w14:paraId="37E2B100" w14:textId="77777777" w:rsidR="00445D0B" w:rsidRPr="00BD7A35" w:rsidRDefault="00445D0B" w:rsidP="00445D0B">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0EAD19BB" w14:textId="77777777" w:rsidR="00445D0B" w:rsidRPr="00BD7A35" w:rsidRDefault="00445D0B" w:rsidP="00445D0B">
      <w:r w:rsidRPr="00BD7A35">
        <w:t>Attendance will be taken each class period.</w:t>
      </w:r>
    </w:p>
    <w:p w14:paraId="21C0CE69" w14:textId="77777777" w:rsidR="00445D0B" w:rsidRPr="00BD7A35" w:rsidRDefault="00445D0B" w:rsidP="00445D0B">
      <w:pPr>
        <w:rPr>
          <w:b/>
          <w:u w:val="single"/>
        </w:rPr>
      </w:pPr>
    </w:p>
    <w:p w14:paraId="7CBB63D0" w14:textId="77777777" w:rsidR="00445D0B" w:rsidRPr="00BD7A35" w:rsidRDefault="00445D0B" w:rsidP="00445D0B">
      <w:pPr>
        <w:rPr>
          <w:b/>
          <w:u w:val="single"/>
        </w:rPr>
      </w:pPr>
      <w:r w:rsidRPr="00BD7A35">
        <w:rPr>
          <w:b/>
          <w:u w:val="single"/>
        </w:rPr>
        <w:t>HL</w:t>
      </w:r>
    </w:p>
    <w:p w14:paraId="3BF12251" w14:textId="77777777" w:rsidR="00445D0B" w:rsidRPr="00BD7A35" w:rsidRDefault="00445D0B" w:rsidP="00445D0B">
      <w:r w:rsidRPr="00BD7A35">
        <w:t xml:space="preserve">This class is a </w:t>
      </w:r>
      <w:r w:rsidRPr="00BD7A35">
        <w:rPr>
          <w:i/>
          <w:iCs/>
        </w:rPr>
        <w:t>Lab-Based</w:t>
      </w:r>
      <w:r w:rsidRPr="00BD7A35">
        <w:t xml:space="preserve"> course.</w:t>
      </w:r>
    </w:p>
    <w:p w14:paraId="2CBE4BBA" w14:textId="77777777" w:rsidR="00445D0B" w:rsidRPr="00BD7A35" w:rsidRDefault="00445D0B" w:rsidP="00445D0B">
      <w:pPr>
        <w:rPr>
          <w:b/>
          <w:bCs/>
        </w:rPr>
      </w:pPr>
      <w:r w:rsidRPr="00BD7A35">
        <w:rPr>
          <w:b/>
          <w:bCs/>
        </w:rPr>
        <w:t>Faculty will hold class on-campus in the Laboratory/Studio as per the assigned schedule, and students will attend in person each class period.</w:t>
      </w:r>
    </w:p>
    <w:p w14:paraId="1B6BF14B" w14:textId="77777777" w:rsidR="00445D0B" w:rsidRPr="00BD7A35" w:rsidRDefault="00445D0B" w:rsidP="00445D0B">
      <w:pPr>
        <w:rPr>
          <w:b/>
          <w:bCs/>
        </w:rPr>
      </w:pPr>
      <w:r w:rsidRPr="00BD7A35">
        <w:t>Attendance will be taken each class period.</w:t>
      </w:r>
    </w:p>
    <w:p w14:paraId="1714921B" w14:textId="77777777" w:rsidR="00445D0B" w:rsidRPr="00BD7A35" w:rsidRDefault="00445D0B" w:rsidP="00445D0B">
      <w:pPr>
        <w:rPr>
          <w:b/>
          <w:bCs/>
          <w:u w:val="single"/>
        </w:rPr>
      </w:pPr>
    </w:p>
    <w:p w14:paraId="0B35D0B5" w14:textId="77777777" w:rsidR="00445D0B" w:rsidRPr="00BD7A35" w:rsidRDefault="00445D0B" w:rsidP="00445D0B">
      <w:pPr>
        <w:rPr>
          <w:b/>
          <w:bCs/>
          <w:u w:val="single"/>
        </w:rPr>
      </w:pPr>
      <w:r w:rsidRPr="00BD7A35">
        <w:rPr>
          <w:b/>
          <w:bCs/>
          <w:u w:val="single"/>
        </w:rPr>
        <w:t>WW</w:t>
      </w:r>
    </w:p>
    <w:p w14:paraId="2A945A64" w14:textId="77777777" w:rsidR="00445D0B" w:rsidRPr="00BD7A35" w:rsidRDefault="00445D0B" w:rsidP="00445D0B">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185C6F5E" w14:textId="77777777" w:rsidR="00445D0B" w:rsidRPr="00BD7A35" w:rsidRDefault="00445D0B" w:rsidP="00445D0B">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2D29361A" w14:textId="77777777" w:rsidR="00445D0B" w:rsidRPr="00BD7A35" w:rsidRDefault="00445D0B" w:rsidP="00445D0B">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5B3CD4C9" w14:textId="77777777" w:rsidR="00445D0B" w:rsidRPr="0025433F" w:rsidRDefault="00445D0B"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769D6307" w14:textId="77777777" w:rsidR="00300E71" w:rsidRPr="00D25B7C" w:rsidRDefault="00300E71" w:rsidP="00300E71">
      <w:pPr>
        <w:rPr>
          <w:rFonts w:cs="Arial"/>
          <w:sz w:val="22"/>
          <w:szCs w:val="22"/>
        </w:rPr>
      </w:pPr>
      <w:r w:rsidRPr="00D25B7C">
        <w:rPr>
          <w:rFonts w:cs="Arial"/>
          <w:sz w:val="22"/>
          <w:szCs w:val="22"/>
        </w:rPr>
        <w:t xml:space="preserve">Upon successful completion of this course, students will: </w:t>
      </w:r>
    </w:p>
    <w:p w14:paraId="3514EB00" w14:textId="77777777" w:rsidR="00B36F79" w:rsidRPr="00B36F79" w:rsidRDefault="00B36F79" w:rsidP="00B36F79">
      <w:pPr>
        <w:ind w:left="720"/>
        <w:rPr>
          <w:sz w:val="22"/>
          <w:szCs w:val="22"/>
        </w:rPr>
      </w:pPr>
      <w:r w:rsidRPr="00B36F79">
        <w:rPr>
          <w:sz w:val="22"/>
          <w:szCs w:val="22"/>
        </w:rPr>
        <w:t>1. Generate works that demonstrate descriptive, expressive, and conceptual approaches. 2. Apply the elements of art and principles of design to water-based media.</w:t>
      </w:r>
    </w:p>
    <w:p w14:paraId="7E883145" w14:textId="77777777" w:rsidR="00B36F79" w:rsidRPr="00B36F79" w:rsidRDefault="00B36F79" w:rsidP="00B36F79">
      <w:pPr>
        <w:ind w:left="720"/>
        <w:rPr>
          <w:sz w:val="22"/>
          <w:szCs w:val="22"/>
        </w:rPr>
      </w:pPr>
      <w:r w:rsidRPr="00B36F79">
        <w:rPr>
          <w:sz w:val="22"/>
          <w:szCs w:val="22"/>
        </w:rPr>
        <w:t>3. Use varied techniques and materials, including opaque and transparent watercolors.</w:t>
      </w:r>
    </w:p>
    <w:p w14:paraId="49D70ED7" w14:textId="77777777" w:rsidR="00B36F79" w:rsidRPr="00B36F79" w:rsidRDefault="00B36F79" w:rsidP="00B36F79">
      <w:pPr>
        <w:ind w:left="720"/>
        <w:rPr>
          <w:sz w:val="22"/>
          <w:szCs w:val="22"/>
        </w:rPr>
      </w:pPr>
      <w:r w:rsidRPr="00B36F79">
        <w:rPr>
          <w:sz w:val="22"/>
          <w:szCs w:val="22"/>
        </w:rPr>
        <w:t>4. Analyze and critique works verbally and/or in writing.</w:t>
      </w:r>
    </w:p>
    <w:p w14:paraId="5A6121CD" w14:textId="77777777" w:rsidR="00B36F79" w:rsidRPr="00B36F79" w:rsidRDefault="00B36F79" w:rsidP="00B36F79">
      <w:pPr>
        <w:ind w:left="720"/>
        <w:rPr>
          <w:sz w:val="22"/>
          <w:szCs w:val="22"/>
        </w:rPr>
      </w:pPr>
      <w:r w:rsidRPr="00B36F79">
        <w:rPr>
          <w:sz w:val="22"/>
          <w:szCs w:val="22"/>
        </w:rPr>
        <w:t>5. Relate water-based media to art history and contemporary artistic production.</w:t>
      </w:r>
    </w:p>
    <w:p w14:paraId="6446F57A" w14:textId="5B5A8B30" w:rsidR="00ED1E34" w:rsidRPr="0025433F" w:rsidRDefault="00B36F79" w:rsidP="00B36F79">
      <w:pPr>
        <w:ind w:left="720"/>
        <w:rPr>
          <w:sz w:val="22"/>
          <w:szCs w:val="22"/>
        </w:rPr>
      </w:pPr>
      <w:r w:rsidRPr="00B36F79">
        <w:rPr>
          <w:sz w:val="22"/>
          <w:szCs w:val="22"/>
        </w:rPr>
        <w:t>6. Demonstrate an appropriate level of professional practice, including safety, craft, and presentation.</w:t>
      </w: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lastRenderedPageBreak/>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13110D50" w14:textId="77777777" w:rsidR="008A2DBD" w:rsidRDefault="008A2DBD" w:rsidP="00422551">
      <w:pPr>
        <w:pStyle w:val="Heading3"/>
      </w:pPr>
    </w:p>
    <w:p w14:paraId="3B5FC240" w14:textId="77777777" w:rsidR="00CD5442" w:rsidRDefault="00CD5442" w:rsidP="00CD5442">
      <w:pPr>
        <w:pStyle w:val="Heading2"/>
        <w:shd w:val="clear" w:color="auto" w:fill="FFFFFF"/>
        <w:rPr>
          <w:color w:val="2F5496"/>
          <w:szCs w:val="24"/>
        </w:rPr>
      </w:pPr>
      <w:r>
        <w:rPr>
          <w:color w:val="2F5496"/>
          <w:szCs w:val="24"/>
        </w:rPr>
        <w:t>Additional Requirements for Studio Art Majors</w:t>
      </w:r>
    </w:p>
    <w:p w14:paraId="63ABF67A" w14:textId="77777777" w:rsidR="00CD5442" w:rsidRDefault="00CD5442" w:rsidP="00CD5442">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722F13A1" w:rsidR="00CD5442" w:rsidRPr="00CD5442" w:rsidRDefault="00CD5442" w:rsidP="00CD5442">
      <w:pPr>
        <w:sectPr w:rsidR="00CD5442" w:rsidRPr="00CD5442"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6866F4"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A97226" w:rsidRPr="00425770" w14:paraId="607C42AF" w14:textId="77777777" w:rsidTr="003E342A">
        <w:tc>
          <w:tcPr>
            <w:tcW w:w="9828" w:type="dxa"/>
            <w:gridSpan w:val="5"/>
            <w:shd w:val="clear" w:color="auto" w:fill="D9D9D9"/>
          </w:tcPr>
          <w:p w14:paraId="610D90E3" w14:textId="77777777" w:rsidR="00A97226" w:rsidRPr="00425770" w:rsidRDefault="00A97226" w:rsidP="003E342A">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A97226" w:rsidRPr="00425770" w14:paraId="10264A47" w14:textId="77777777" w:rsidTr="003E342A">
        <w:tc>
          <w:tcPr>
            <w:tcW w:w="5035" w:type="dxa"/>
            <w:gridSpan w:val="3"/>
          </w:tcPr>
          <w:p w14:paraId="1A1714D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2870061" w14:textId="77777777" w:rsidR="00A97226" w:rsidRPr="00425770" w:rsidRDefault="00A97226" w:rsidP="003E342A">
            <w:pPr>
              <w:tabs>
                <w:tab w:val="left" w:pos="6960"/>
                <w:tab w:val="left" w:pos="7920"/>
              </w:tabs>
              <w:rPr>
                <w:rFonts w:cs="Arial"/>
                <w:bCs/>
                <w:sz w:val="22"/>
                <w:szCs w:val="22"/>
              </w:rPr>
            </w:pPr>
          </w:p>
        </w:tc>
      </w:tr>
      <w:tr w:rsidR="00A97226" w:rsidRPr="00425770" w14:paraId="7D97902B" w14:textId="77777777" w:rsidTr="003E342A">
        <w:tc>
          <w:tcPr>
            <w:tcW w:w="5035" w:type="dxa"/>
            <w:gridSpan w:val="3"/>
          </w:tcPr>
          <w:p w14:paraId="27FC52C0"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15FF48C6" w14:textId="77777777" w:rsidR="00A97226" w:rsidRPr="00425770" w:rsidRDefault="00A97226" w:rsidP="003E342A">
            <w:pPr>
              <w:tabs>
                <w:tab w:val="left" w:pos="6960"/>
                <w:tab w:val="left" w:pos="7920"/>
              </w:tabs>
              <w:rPr>
                <w:rFonts w:cs="Arial"/>
                <w:bCs/>
                <w:sz w:val="22"/>
                <w:szCs w:val="22"/>
              </w:rPr>
            </w:pPr>
          </w:p>
        </w:tc>
      </w:tr>
      <w:tr w:rsidR="00A97226" w:rsidRPr="00425770" w14:paraId="2887A83A" w14:textId="77777777" w:rsidTr="003E342A">
        <w:tc>
          <w:tcPr>
            <w:tcW w:w="5035" w:type="dxa"/>
            <w:gridSpan w:val="3"/>
          </w:tcPr>
          <w:p w14:paraId="3A82C353"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458C0AD0" w14:textId="77777777" w:rsidR="00A97226" w:rsidRPr="00425770" w:rsidRDefault="00A97226" w:rsidP="003E342A">
            <w:pPr>
              <w:tabs>
                <w:tab w:val="left" w:pos="6960"/>
                <w:tab w:val="left" w:pos="7920"/>
              </w:tabs>
              <w:rPr>
                <w:rFonts w:cs="Arial"/>
                <w:bCs/>
                <w:sz w:val="22"/>
                <w:szCs w:val="22"/>
              </w:rPr>
            </w:pPr>
          </w:p>
        </w:tc>
      </w:tr>
      <w:tr w:rsidR="00A97226" w:rsidRPr="00425770" w14:paraId="0DC86AD8" w14:textId="77777777" w:rsidTr="003E342A">
        <w:tc>
          <w:tcPr>
            <w:tcW w:w="5035" w:type="dxa"/>
            <w:gridSpan w:val="3"/>
          </w:tcPr>
          <w:p w14:paraId="774D8AAA"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74CD948A" w14:textId="77777777" w:rsidR="00A97226" w:rsidRPr="00425770" w:rsidRDefault="00A97226" w:rsidP="003E342A">
            <w:pPr>
              <w:tabs>
                <w:tab w:val="left" w:pos="6960"/>
                <w:tab w:val="left" w:pos="7920"/>
              </w:tabs>
              <w:rPr>
                <w:rFonts w:cs="Arial"/>
                <w:bCs/>
                <w:sz w:val="22"/>
                <w:szCs w:val="22"/>
              </w:rPr>
            </w:pPr>
          </w:p>
        </w:tc>
      </w:tr>
      <w:tr w:rsidR="00A97226" w:rsidRPr="00425770" w14:paraId="1DC3BCE5" w14:textId="77777777" w:rsidTr="003E342A">
        <w:tc>
          <w:tcPr>
            <w:tcW w:w="5035" w:type="dxa"/>
            <w:gridSpan w:val="3"/>
          </w:tcPr>
          <w:p w14:paraId="5CB7ABEC"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0D4B5334" w14:textId="77777777" w:rsidR="00A97226" w:rsidRPr="00425770" w:rsidRDefault="00A97226" w:rsidP="003E342A">
            <w:pPr>
              <w:tabs>
                <w:tab w:val="left" w:pos="6960"/>
                <w:tab w:val="left" w:pos="7920"/>
              </w:tabs>
              <w:rPr>
                <w:rFonts w:cs="Arial"/>
                <w:bCs/>
                <w:sz w:val="22"/>
                <w:szCs w:val="22"/>
              </w:rPr>
            </w:pPr>
          </w:p>
        </w:tc>
      </w:tr>
      <w:tr w:rsidR="00A97226" w:rsidRPr="00425770" w14:paraId="0445462F" w14:textId="77777777" w:rsidTr="003E342A">
        <w:tc>
          <w:tcPr>
            <w:tcW w:w="5035" w:type="dxa"/>
            <w:gridSpan w:val="3"/>
          </w:tcPr>
          <w:p w14:paraId="7932703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F07AB59" w14:textId="77777777" w:rsidR="00A97226" w:rsidRPr="00425770" w:rsidRDefault="00A97226" w:rsidP="003E342A">
            <w:pPr>
              <w:tabs>
                <w:tab w:val="left" w:pos="6960"/>
                <w:tab w:val="left" w:pos="7920"/>
              </w:tabs>
              <w:rPr>
                <w:rFonts w:cs="Arial"/>
                <w:bCs/>
                <w:sz w:val="22"/>
                <w:szCs w:val="22"/>
              </w:rPr>
            </w:pPr>
          </w:p>
        </w:tc>
      </w:tr>
      <w:tr w:rsidR="00A97226" w:rsidRPr="00425770" w14:paraId="7FE29135" w14:textId="77777777" w:rsidTr="003E342A">
        <w:tblPrEx>
          <w:tblLook w:val="04A0" w:firstRow="1" w:lastRow="0" w:firstColumn="1" w:lastColumn="0" w:noHBand="0" w:noVBand="1"/>
        </w:tblPrEx>
        <w:trPr>
          <w:gridAfter w:val="1"/>
          <w:wAfter w:w="23" w:type="dxa"/>
        </w:trPr>
        <w:tc>
          <w:tcPr>
            <w:tcW w:w="1008" w:type="dxa"/>
            <w:shd w:val="clear" w:color="auto" w:fill="auto"/>
          </w:tcPr>
          <w:p w14:paraId="70A22C2C"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8858F8B"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6E08F34"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A97226" w:rsidRPr="00425770" w14:paraId="3DDBA42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1E99DD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6A59C148"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058E87C" w14:textId="77777777" w:rsidR="00A97226" w:rsidRPr="00241718" w:rsidRDefault="00A97226" w:rsidP="003E342A">
            <w:pPr>
              <w:rPr>
                <w:rFonts w:cs="Arial"/>
                <w:color w:val="FF0000"/>
                <w:sz w:val="22"/>
                <w:szCs w:val="22"/>
              </w:rPr>
            </w:pPr>
            <w:r w:rsidRPr="00241718">
              <w:rPr>
                <w:rFonts w:cs="Arial"/>
                <w:color w:val="FF0000"/>
                <w:spacing w:val="-3"/>
                <w:sz w:val="22"/>
                <w:szCs w:val="22"/>
              </w:rPr>
              <w:t xml:space="preserve">Class orientation, syllabus, supply list, </w:t>
            </w:r>
            <w:proofErr w:type="spellStart"/>
            <w:r w:rsidRPr="00241718">
              <w:rPr>
                <w:rFonts w:cs="Arial"/>
                <w:color w:val="FF0000"/>
                <w:spacing w:val="-3"/>
                <w:sz w:val="22"/>
                <w:szCs w:val="22"/>
              </w:rPr>
              <w:t>etc</w:t>
            </w:r>
            <w:proofErr w:type="spellEnd"/>
            <w:r w:rsidRPr="00241718">
              <w:rPr>
                <w:rFonts w:cs="Arial"/>
                <w:color w:val="FF0000"/>
                <w:spacing w:val="-3"/>
                <w:sz w:val="22"/>
                <w:szCs w:val="22"/>
              </w:rPr>
              <w:t xml:space="preserve"> </w:t>
            </w:r>
            <w:r w:rsidRPr="00241718">
              <w:rPr>
                <w:rFonts w:cs="Arial"/>
                <w:bCs/>
                <w:color w:val="FF0000"/>
                <w:sz w:val="22"/>
                <w:szCs w:val="22"/>
              </w:rPr>
              <w:t>Introduce Project One</w:t>
            </w:r>
          </w:p>
        </w:tc>
      </w:tr>
      <w:tr w:rsidR="00A97226" w:rsidRPr="00425770" w14:paraId="2417A0C6"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E35547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4EF65370"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AEBD35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EBAE7E0"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97FA28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08BADCC"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9975C40"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33D086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35E7A6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A8AAF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57561F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FD14B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4777CA4E"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5998F4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BE29DEC"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22DD798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B422695"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73CEEDA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80237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1C09D5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58CF09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2AF6869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E95BEA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202892F"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5609F5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56CDC82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2F84BAE4"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8D8AEE2"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06558713"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1A2BA3D2"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7386072"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65ED3A5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BB9FA2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8BE932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21FB84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D192BA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8E4A89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5724D2DE"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ABA6DF5" w14:textId="77777777" w:rsidR="00A97226" w:rsidRPr="00241718" w:rsidRDefault="00A97226" w:rsidP="003E342A">
            <w:pPr>
              <w:rPr>
                <w:rFonts w:cs="Arial"/>
                <w:color w:val="FF0000"/>
                <w:sz w:val="22"/>
                <w:szCs w:val="22"/>
              </w:rPr>
            </w:pPr>
            <w:r w:rsidRPr="00241718">
              <w:rPr>
                <w:rFonts w:cs="Arial"/>
                <w:color w:val="FF0000"/>
                <w:sz w:val="22"/>
                <w:szCs w:val="22"/>
              </w:rPr>
              <w:t>Field trip – Museum of Fine Arts Houston</w:t>
            </w:r>
          </w:p>
        </w:tc>
      </w:tr>
      <w:tr w:rsidR="00A97226" w:rsidRPr="00425770" w14:paraId="07C990E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9AC120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093CCCD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8B51A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646309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AC897CD"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C7481E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A8E42B"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C26694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7DC405E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6424178F"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7A8A748"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1911A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8A250EA"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360705C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675D59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0EE46DF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6AA6772"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724F3CBB"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D9B43D"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866F4"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63913B1E" w14:textId="77777777" w:rsidR="00300E71" w:rsidRPr="00425770" w:rsidRDefault="00300E71" w:rsidP="00300E71">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5595E08A" w14:textId="77777777" w:rsidR="00300E71" w:rsidRPr="00956FDC" w:rsidRDefault="00300E71" w:rsidP="00300E71">
      <w:pPr>
        <w:numPr>
          <w:ilvl w:val="0"/>
          <w:numId w:val="23"/>
        </w:numPr>
        <w:tabs>
          <w:tab w:val="clear" w:pos="360"/>
        </w:tabs>
        <w:ind w:left="450" w:hanging="90"/>
        <w:rPr>
          <w:rFonts w:cs="Arial"/>
          <w:sz w:val="22"/>
          <w:szCs w:val="22"/>
        </w:rPr>
      </w:pPr>
      <w:bookmarkStart w:id="1" w:name="OLE_LINK1"/>
      <w:r w:rsidRPr="00956FDC">
        <w:rPr>
          <w:rFonts w:cs="Arial"/>
          <w:sz w:val="22"/>
          <w:szCs w:val="22"/>
        </w:rPr>
        <w:t>Complete and comprehend the objectives of all graded assignments</w:t>
      </w:r>
    </w:p>
    <w:p w14:paraId="71D3E486"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68F2D313"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46987D68"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630FE222"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73632D02"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3EC28CD4" w14:textId="77777777" w:rsidR="00300E71" w:rsidRPr="00956FDC" w:rsidRDefault="00300E71" w:rsidP="00300E71">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48A17875" w14:textId="77777777" w:rsidR="00300E71" w:rsidRPr="00956FDC" w:rsidRDefault="00300E71" w:rsidP="00300E71">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7596F95E" w14:textId="77777777" w:rsidR="00300E71" w:rsidRPr="00956FDC" w:rsidRDefault="00300E71" w:rsidP="00300E71">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1"/>
    <w:p w14:paraId="3BE97553"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 xml:space="preserve">Incorporate a variety of techniques and subjects during the semester </w:t>
      </w:r>
    </w:p>
    <w:p w14:paraId="0646B378"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Apply flat washes on wet and dry paper, lay a gradated wash, and lay a variegated wash</w:t>
      </w:r>
    </w:p>
    <w:p w14:paraId="615FAC8D"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Prepare papers for painting</w:t>
      </w:r>
    </w:p>
    <w:p w14:paraId="2E6B92A3"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Use glazes and washes to mix color and create value</w:t>
      </w:r>
    </w:p>
    <w:p w14:paraId="6FE542E4"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Reserve white areas of the paper through the painting process</w:t>
      </w:r>
    </w:p>
    <w:p w14:paraId="49441033"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Complete a watercolor painting that uses light as the expressive element</w:t>
      </w:r>
    </w:p>
    <w:p w14:paraId="532E599B" w14:textId="77777777" w:rsidR="00300E71" w:rsidRPr="00E35BA7" w:rsidRDefault="00300E71" w:rsidP="00300E71">
      <w:pPr>
        <w:numPr>
          <w:ilvl w:val="0"/>
          <w:numId w:val="23"/>
        </w:numPr>
        <w:tabs>
          <w:tab w:val="clear" w:pos="360"/>
        </w:tabs>
        <w:ind w:left="720"/>
        <w:rPr>
          <w:rFonts w:cs="Arial"/>
          <w:sz w:val="22"/>
        </w:rPr>
      </w:pPr>
      <w:r w:rsidRPr="00E35BA7">
        <w:rPr>
          <w:rFonts w:cs="Arial"/>
          <w:sz w:val="22"/>
        </w:rPr>
        <w:t>Complete a watercolor painting that uses color as the expressive element</w:t>
      </w:r>
    </w:p>
    <w:p w14:paraId="34306A6C" w14:textId="77777777" w:rsidR="00300E71" w:rsidRPr="00E35BA7" w:rsidRDefault="00300E71" w:rsidP="00300E71">
      <w:pPr>
        <w:numPr>
          <w:ilvl w:val="0"/>
          <w:numId w:val="23"/>
        </w:numPr>
        <w:tabs>
          <w:tab w:val="clear" w:pos="360"/>
        </w:tabs>
        <w:ind w:left="720"/>
        <w:rPr>
          <w:rFonts w:cs="Arial"/>
          <w:sz w:val="24"/>
          <w:szCs w:val="22"/>
        </w:rPr>
      </w:pPr>
      <w:r w:rsidRPr="00E35BA7">
        <w:rPr>
          <w:rFonts w:cs="Arial"/>
          <w:sz w:val="22"/>
        </w:rPr>
        <w:t>Complete a watercolor painting that is either abstract or nonrepresentational</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lastRenderedPageBreak/>
        <w:t xml:space="preserve">The Visual Art Program offers an Associate Degree in Studio Art that is transferable to 4-year university programs. For more information, visit </w:t>
      </w:r>
    </w:p>
    <w:p w14:paraId="0F53E52E" w14:textId="77777777" w:rsidR="007F1C88" w:rsidRPr="006940C6" w:rsidRDefault="006866F4"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866F4"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6866F4"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866F4"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D385" w14:textId="77777777" w:rsidR="006866F4" w:rsidRDefault="006866F4" w:rsidP="00EB04C8">
      <w:r>
        <w:separator/>
      </w:r>
    </w:p>
  </w:endnote>
  <w:endnote w:type="continuationSeparator" w:id="0">
    <w:p w14:paraId="62347E6B" w14:textId="77777777" w:rsidR="006866F4" w:rsidRDefault="006866F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4E65" w14:textId="77777777" w:rsidR="006866F4" w:rsidRDefault="006866F4" w:rsidP="00EB04C8">
      <w:r>
        <w:separator/>
      </w:r>
    </w:p>
  </w:footnote>
  <w:footnote w:type="continuationSeparator" w:id="0">
    <w:p w14:paraId="328B98AA" w14:textId="77777777" w:rsidR="006866F4" w:rsidRDefault="006866F4"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0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B038CB"/>
    <w:multiLevelType w:val="hybridMultilevel"/>
    <w:tmpl w:val="E436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2"/>
  </w:num>
  <w:num w:numId="4">
    <w:abstractNumId w:val="20"/>
  </w:num>
  <w:num w:numId="5">
    <w:abstractNumId w:val="8"/>
  </w:num>
  <w:num w:numId="6">
    <w:abstractNumId w:val="14"/>
  </w:num>
  <w:num w:numId="7">
    <w:abstractNumId w:val="6"/>
  </w:num>
  <w:num w:numId="8">
    <w:abstractNumId w:val="5"/>
  </w:num>
  <w:num w:numId="9">
    <w:abstractNumId w:val="11"/>
  </w:num>
  <w:num w:numId="10">
    <w:abstractNumId w:val="3"/>
  </w:num>
  <w:num w:numId="11">
    <w:abstractNumId w:val="0"/>
  </w:num>
  <w:num w:numId="12">
    <w:abstractNumId w:val="7"/>
  </w:num>
  <w:num w:numId="13">
    <w:abstractNumId w:val="16"/>
  </w:num>
  <w:num w:numId="14">
    <w:abstractNumId w:val="24"/>
  </w:num>
  <w:num w:numId="15">
    <w:abstractNumId w:val="17"/>
  </w:num>
  <w:num w:numId="16">
    <w:abstractNumId w:val="13"/>
  </w:num>
  <w:num w:numId="17">
    <w:abstractNumId w:val="18"/>
  </w:num>
  <w:num w:numId="18">
    <w:abstractNumId w:val="21"/>
  </w:num>
  <w:num w:numId="19">
    <w:abstractNumId w:val="4"/>
  </w:num>
  <w:num w:numId="20">
    <w:abstractNumId w:val="19"/>
  </w:num>
  <w:num w:numId="21">
    <w:abstractNumId w:val="22"/>
  </w:num>
  <w:num w:numId="22">
    <w:abstractNumId w:val="9"/>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3250"/>
    <w:rsid w:val="001D791A"/>
    <w:rsid w:val="001F0B91"/>
    <w:rsid w:val="001F159D"/>
    <w:rsid w:val="001F2F87"/>
    <w:rsid w:val="00202EA3"/>
    <w:rsid w:val="00214B25"/>
    <w:rsid w:val="00215CCF"/>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00E71"/>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45D0B"/>
    <w:rsid w:val="00451A65"/>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12D8"/>
    <w:rsid w:val="00663AF8"/>
    <w:rsid w:val="006805D7"/>
    <w:rsid w:val="006866F4"/>
    <w:rsid w:val="0069775A"/>
    <w:rsid w:val="006E4881"/>
    <w:rsid w:val="006F47E4"/>
    <w:rsid w:val="007136C3"/>
    <w:rsid w:val="00720DCE"/>
    <w:rsid w:val="0072121A"/>
    <w:rsid w:val="00725707"/>
    <w:rsid w:val="00730B89"/>
    <w:rsid w:val="007544A1"/>
    <w:rsid w:val="00757870"/>
    <w:rsid w:val="00757954"/>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11563"/>
    <w:rsid w:val="00812E60"/>
    <w:rsid w:val="0081772F"/>
    <w:rsid w:val="00822167"/>
    <w:rsid w:val="00823E66"/>
    <w:rsid w:val="00824007"/>
    <w:rsid w:val="00830822"/>
    <w:rsid w:val="00833269"/>
    <w:rsid w:val="00834BE5"/>
    <w:rsid w:val="00836367"/>
    <w:rsid w:val="00837C9F"/>
    <w:rsid w:val="008417BF"/>
    <w:rsid w:val="00843746"/>
    <w:rsid w:val="00850258"/>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16A0F"/>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79"/>
    <w:rsid w:val="00B36FE8"/>
    <w:rsid w:val="00B45F69"/>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3788"/>
    <w:rsid w:val="00C35BD2"/>
    <w:rsid w:val="00C37241"/>
    <w:rsid w:val="00C42C88"/>
    <w:rsid w:val="00C518E1"/>
    <w:rsid w:val="00C54A55"/>
    <w:rsid w:val="00C65FB6"/>
    <w:rsid w:val="00C71F3C"/>
    <w:rsid w:val="00C80BD2"/>
    <w:rsid w:val="00C822C4"/>
    <w:rsid w:val="00C93428"/>
    <w:rsid w:val="00C949F1"/>
    <w:rsid w:val="00CA0A23"/>
    <w:rsid w:val="00CA4088"/>
    <w:rsid w:val="00CB05EB"/>
    <w:rsid w:val="00CB0B4D"/>
    <w:rsid w:val="00CC21E6"/>
    <w:rsid w:val="00CC43BA"/>
    <w:rsid w:val="00CC7E80"/>
    <w:rsid w:val="00CD027E"/>
    <w:rsid w:val="00CD231F"/>
    <w:rsid w:val="00CD5442"/>
    <w:rsid w:val="00CE1A06"/>
    <w:rsid w:val="00CE3EB6"/>
    <w:rsid w:val="00CE412C"/>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703C"/>
    <w:rsid w:val="00DF6928"/>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B04C8"/>
    <w:rsid w:val="00EC40DD"/>
    <w:rsid w:val="00ED1E34"/>
    <w:rsid w:val="00EF1A28"/>
    <w:rsid w:val="00F10D32"/>
    <w:rsid w:val="00F23778"/>
    <w:rsid w:val="00F271CB"/>
    <w:rsid w:val="00F42730"/>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53369620">
      <w:bodyDiv w:val="1"/>
      <w:marLeft w:val="0"/>
      <w:marRight w:val="0"/>
      <w:marTop w:val="0"/>
      <w:marBottom w:val="0"/>
      <w:divBdr>
        <w:top w:val="none" w:sz="0" w:space="0" w:color="auto"/>
        <w:left w:val="none" w:sz="0" w:space="0" w:color="auto"/>
        <w:bottom w:val="none" w:sz="0" w:space="0" w:color="auto"/>
        <w:right w:val="none" w:sz="0" w:space="0" w:color="auto"/>
      </w:divBdr>
      <w:divsChild>
        <w:div w:id="1875580414">
          <w:marLeft w:val="0"/>
          <w:marRight w:val="0"/>
          <w:marTop w:val="0"/>
          <w:marBottom w:val="0"/>
          <w:divBdr>
            <w:top w:val="none" w:sz="0" w:space="0" w:color="auto"/>
            <w:left w:val="none" w:sz="0" w:space="0" w:color="auto"/>
            <w:bottom w:val="none" w:sz="0" w:space="0" w:color="auto"/>
            <w:right w:val="none" w:sz="0" w:space="0" w:color="auto"/>
          </w:divBdr>
          <w:divsChild>
            <w:div w:id="681515366">
              <w:marLeft w:val="0"/>
              <w:marRight w:val="0"/>
              <w:marTop w:val="0"/>
              <w:marBottom w:val="0"/>
              <w:divBdr>
                <w:top w:val="none" w:sz="0" w:space="0" w:color="auto"/>
                <w:left w:val="none" w:sz="0" w:space="0" w:color="auto"/>
                <w:bottom w:val="none" w:sz="0" w:space="0" w:color="auto"/>
                <w:right w:val="none" w:sz="0" w:space="0" w:color="auto"/>
              </w:divBdr>
              <w:divsChild>
                <w:div w:id="8116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32850340">
      <w:bodyDiv w:val="1"/>
      <w:marLeft w:val="0"/>
      <w:marRight w:val="0"/>
      <w:marTop w:val="0"/>
      <w:marBottom w:val="0"/>
      <w:divBdr>
        <w:top w:val="none" w:sz="0" w:space="0" w:color="auto"/>
        <w:left w:val="none" w:sz="0" w:space="0" w:color="auto"/>
        <w:bottom w:val="none" w:sz="0" w:space="0" w:color="auto"/>
        <w:right w:val="none" w:sz="0" w:space="0" w:color="auto"/>
      </w:divBdr>
      <w:divsChild>
        <w:div w:id="999044316">
          <w:marLeft w:val="0"/>
          <w:marRight w:val="0"/>
          <w:marTop w:val="0"/>
          <w:marBottom w:val="0"/>
          <w:divBdr>
            <w:top w:val="none" w:sz="0" w:space="0" w:color="auto"/>
            <w:left w:val="none" w:sz="0" w:space="0" w:color="auto"/>
            <w:bottom w:val="none" w:sz="0" w:space="0" w:color="auto"/>
            <w:right w:val="none" w:sz="0" w:space="0" w:color="auto"/>
          </w:divBdr>
          <w:divsChild>
            <w:div w:id="1226834412">
              <w:marLeft w:val="0"/>
              <w:marRight w:val="0"/>
              <w:marTop w:val="0"/>
              <w:marBottom w:val="0"/>
              <w:divBdr>
                <w:top w:val="none" w:sz="0" w:space="0" w:color="auto"/>
                <w:left w:val="none" w:sz="0" w:space="0" w:color="auto"/>
                <w:bottom w:val="none" w:sz="0" w:space="0" w:color="auto"/>
                <w:right w:val="none" w:sz="0" w:space="0" w:color="auto"/>
              </w:divBdr>
              <w:divsChild>
                <w:div w:id="5168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056BC-CF42-4B4C-854E-38BA358A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2020-11-12T21:53:00Z</dcterms:created>
  <dcterms:modified xsi:type="dcterms:W3CDTF">2020-11-12T21:53:00Z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