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13" w:rsidRPr="00D93413" w:rsidRDefault="00D93413" w:rsidP="00D93413">
      <w:pPr>
        <w:keepNext/>
        <w:spacing w:after="0" w:line="240" w:lineRule="auto"/>
        <w:jc w:val="center"/>
        <w:outlineLvl w:val="0"/>
        <w:rPr>
          <w:rFonts w:eastAsia="Times New Roman" w:cstheme="minorHAnsi"/>
          <w:sz w:val="24"/>
          <w:szCs w:val="24"/>
        </w:rPr>
      </w:pPr>
    </w:p>
    <w:p w:rsidR="00D93413" w:rsidRPr="00D93413" w:rsidRDefault="00D93413" w:rsidP="00D93413">
      <w:pPr>
        <w:keepNext/>
        <w:spacing w:after="0" w:line="240" w:lineRule="auto"/>
        <w:jc w:val="center"/>
        <w:outlineLvl w:val="0"/>
        <w:rPr>
          <w:rFonts w:eastAsia="Times New Roman" w:cstheme="minorHAnsi"/>
          <w:b/>
          <w:bCs/>
          <w:sz w:val="24"/>
          <w:szCs w:val="24"/>
        </w:rPr>
      </w:pPr>
      <w:r w:rsidRPr="00D93413">
        <w:rPr>
          <w:rFonts w:eastAsia="Times New Roman" w:cstheme="minorHAnsi"/>
          <w:sz w:val="24"/>
          <w:szCs w:val="24"/>
        </w:rPr>
        <w:t>INRW 0300: Integrated Reading and Writing Course for ENGL 1301</w:t>
      </w:r>
    </w:p>
    <w:p w:rsidR="00D93413" w:rsidRPr="00D93413" w:rsidRDefault="00D93413" w:rsidP="00D93413">
      <w:pPr>
        <w:spacing w:after="0" w:line="240" w:lineRule="auto"/>
        <w:rPr>
          <w:rFonts w:eastAsia="Calibri" w:cstheme="minorHAnsi"/>
          <w:sz w:val="24"/>
          <w:szCs w:val="24"/>
        </w:rPr>
      </w:pPr>
      <w:r w:rsidRPr="00D93413">
        <w:rPr>
          <w:rFonts w:eastAsia="Calibri" w:cstheme="minorHAnsi"/>
          <w:noProof/>
          <w:sz w:val="24"/>
          <w:szCs w:val="24"/>
        </w:rPr>
        <mc:AlternateContent>
          <mc:Choice Requires="wps">
            <w:drawing>
              <wp:anchor distT="0" distB="0" distL="114300" distR="114300" simplePos="0" relativeHeight="251659264" behindDoc="0" locked="0" layoutInCell="1" allowOverlap="1" wp14:anchorId="0A32E1E4" wp14:editId="5D10954F">
                <wp:simplePos x="0" y="0"/>
                <wp:positionH relativeFrom="column">
                  <wp:align>center</wp:align>
                </wp:positionH>
                <wp:positionV relativeFrom="paragraph">
                  <wp:posOffset>0</wp:posOffset>
                </wp:positionV>
                <wp:extent cx="6477000" cy="33432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43275"/>
                        </a:xfrm>
                        <a:prstGeom prst="rect">
                          <a:avLst/>
                        </a:prstGeom>
                        <a:solidFill>
                          <a:srgbClr val="FFFFFF"/>
                        </a:solidFill>
                        <a:ln w="9525">
                          <a:solidFill>
                            <a:srgbClr val="000000"/>
                          </a:solidFill>
                          <a:miter lim="800000"/>
                          <a:headEnd/>
                          <a:tailEnd/>
                        </a:ln>
                      </wps:spPr>
                      <wps:txbx>
                        <w:txbxContent>
                          <w:p w:rsidR="00D93413" w:rsidRPr="00B61940" w:rsidRDefault="00D93413" w:rsidP="00D93413">
                            <w:pPr>
                              <w:pStyle w:val="Heading2"/>
                              <w:rPr>
                                <w:rFonts w:ascii="Arial" w:hAnsi="Arial" w:cs="Arial"/>
                              </w:rPr>
                            </w:pPr>
                            <w:r w:rsidRPr="00B61940">
                              <w:rPr>
                                <w:rFonts w:ascii="Arial" w:hAnsi="Arial" w:cs="Arial"/>
                              </w:rPr>
                              <w:t>Course Information</w:t>
                            </w:r>
                            <w:r>
                              <w:rPr>
                                <w:rFonts w:ascii="Arial" w:hAnsi="Arial" w:cs="Arial"/>
                              </w:rPr>
                              <w:br/>
                            </w:r>
                          </w:p>
                          <w:p w:rsidR="00D93413" w:rsidRDefault="00D93413" w:rsidP="00D93413">
                            <w:pPr>
                              <w:ind w:firstLine="720"/>
                              <w:rPr>
                                <w:rFonts w:ascii="Arial" w:hAnsi="Arial" w:cs="Arial"/>
                              </w:rPr>
                            </w:pPr>
                            <w:r w:rsidRPr="00B61940">
                              <w:rPr>
                                <w:rFonts w:ascii="Arial" w:hAnsi="Arial" w:cs="Arial"/>
                              </w:rPr>
                              <w:t>CRN:</w:t>
                            </w:r>
                            <w:r>
                              <w:rPr>
                                <w:rFonts w:ascii="Arial" w:hAnsi="Arial" w:cs="Arial"/>
                              </w:rPr>
                              <w:t xml:space="preserve">  18658</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B61940">
                              <w:rPr>
                                <w:rFonts w:ascii="Arial" w:hAnsi="Arial" w:cs="Arial"/>
                              </w:rPr>
                              <w:t>Credit</w:t>
                            </w:r>
                            <w:proofErr w:type="gramEnd"/>
                            <w:r w:rsidRPr="00B61940">
                              <w:rPr>
                                <w:rFonts w:ascii="Arial" w:hAnsi="Arial" w:cs="Arial"/>
                              </w:rPr>
                              <w:t>: 3 SCH</w:t>
                            </w:r>
                          </w:p>
                          <w:p w:rsidR="00D93413" w:rsidRDefault="00D93413" w:rsidP="00D93413">
                            <w:pPr>
                              <w:ind w:firstLine="720"/>
                              <w:rPr>
                                <w:rFonts w:ascii="Arial" w:hAnsi="Arial" w:cs="Arial"/>
                              </w:rPr>
                            </w:pPr>
                            <w:r>
                              <w:rPr>
                                <w:rFonts w:ascii="Arial" w:hAnsi="Arial" w:cs="Arial"/>
                              </w:rPr>
                              <w:t>Contact Hours: 48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w:t>
                            </w:r>
                            <w:r>
                              <w:rPr>
                                <w:rFonts w:ascii="Arial" w:hAnsi="Arial" w:cs="Arial"/>
                              </w:rPr>
                              <w:t>Northline, MW 7-8:30</w:t>
                            </w:r>
                            <w:r>
                              <w:rPr>
                                <w:rFonts w:ascii="Arial" w:hAnsi="Arial" w:cs="Arial"/>
                              </w:rPr>
                              <w:t xml:space="preserve">, </w:t>
                            </w:r>
                            <w:proofErr w:type="gramStart"/>
                            <w:r>
                              <w:rPr>
                                <w:rFonts w:ascii="Arial" w:hAnsi="Arial" w:cs="Arial"/>
                              </w:rPr>
                              <w:t>R</w:t>
                            </w:r>
                            <w:r>
                              <w:rPr>
                                <w:rFonts w:ascii="Arial" w:hAnsi="Arial" w:cs="Arial"/>
                              </w:rPr>
                              <w:t>m</w:t>
                            </w:r>
                            <w:proofErr w:type="gramEnd"/>
                            <w:r>
                              <w:rPr>
                                <w:rFonts w:ascii="Arial" w:hAnsi="Arial" w:cs="Arial"/>
                              </w:rPr>
                              <w:t xml:space="preserve"> 211</w:t>
                            </w:r>
                          </w:p>
                          <w:p w:rsidR="00D93413" w:rsidRDefault="00D93413" w:rsidP="00D93413">
                            <w:pPr>
                              <w:ind w:firstLine="720"/>
                              <w:rPr>
                                <w:rFonts w:ascii="Arial" w:hAnsi="Arial" w:cs="Arial"/>
                              </w:rPr>
                            </w:pPr>
                            <w:r>
                              <w:rPr>
                                <w:rFonts w:ascii="Arial" w:hAnsi="Arial" w:cs="Arial"/>
                              </w:rPr>
                              <w:t>Course Length/Type of</w:t>
                            </w:r>
                            <w:r>
                              <w:rPr>
                                <w:rFonts w:ascii="Arial" w:hAnsi="Arial" w:cs="Arial"/>
                              </w:rPr>
                              <w:t xml:space="preserve"> Instruction: 16 weeks     </w:t>
                            </w:r>
                            <w:r>
                              <w:rPr>
                                <w:rFonts w:ascii="Arial" w:hAnsi="Arial" w:cs="Arial"/>
                              </w:rPr>
                              <w:t>Semester/Year: Fall 2018</w:t>
                            </w:r>
                          </w:p>
                          <w:p w:rsidR="00D93413" w:rsidRPr="00B61940" w:rsidRDefault="00D93413" w:rsidP="00D93413">
                            <w:pPr>
                              <w:pStyle w:val="Heading2"/>
                              <w:rPr>
                                <w:rFonts w:ascii="Arial" w:hAnsi="Arial" w:cs="Arial"/>
                              </w:rPr>
                            </w:pPr>
                            <w:r>
                              <w:rPr>
                                <w:rFonts w:ascii="Arial" w:hAnsi="Arial" w:cs="Arial"/>
                              </w:rPr>
                              <w:br/>
                            </w:r>
                            <w:r w:rsidRPr="00B61940">
                              <w:rPr>
                                <w:rFonts w:ascii="Arial" w:hAnsi="Arial" w:cs="Arial"/>
                              </w:rPr>
                              <w:t>Instructor Information</w:t>
                            </w:r>
                            <w:r>
                              <w:rPr>
                                <w:rFonts w:ascii="Arial" w:hAnsi="Arial" w:cs="Arial"/>
                              </w:rPr>
                              <w:br/>
                            </w:r>
                          </w:p>
                          <w:p w:rsidR="00D93413" w:rsidRDefault="00D93413" w:rsidP="00D93413">
                            <w:pPr>
                              <w:rPr>
                                <w:rFonts w:ascii="Arial" w:hAnsi="Arial" w:cs="Arial"/>
                              </w:rPr>
                            </w:pPr>
                            <w:r>
                              <w:rPr>
                                <w:rFonts w:ascii="Arial" w:hAnsi="Arial" w:cs="Arial"/>
                              </w:rPr>
                              <w:t>Name:  Deborah Adams</w:t>
                            </w:r>
                            <w:r>
                              <w:rPr>
                                <w:rFonts w:ascii="Arial" w:hAnsi="Arial" w:cs="Arial"/>
                              </w:rPr>
                              <w:tab/>
                              <w:t>Phone:  713-718-2411</w:t>
                            </w:r>
                            <w:r>
                              <w:rPr>
                                <w:rFonts w:ascii="Arial" w:hAnsi="Arial" w:cs="Arial"/>
                              </w:rPr>
                              <w:tab/>
                              <w:t>Email:  deborah.adams@hccs.edu</w:t>
                            </w:r>
                          </w:p>
                          <w:p w:rsidR="00D93413" w:rsidRDefault="00D93413" w:rsidP="00D93413">
                            <w:pPr>
                              <w:jc w:val="center"/>
                              <w:rPr>
                                <w:rFonts w:ascii="Arial" w:hAnsi="Arial" w:cs="Arial"/>
                              </w:rPr>
                            </w:pPr>
                            <w:r>
                              <w:rPr>
                                <w:rFonts w:ascii="Arial" w:hAnsi="Arial" w:cs="Arial"/>
                              </w:rPr>
                              <w:t xml:space="preserve">Learning Web: </w:t>
                            </w:r>
                            <w:hyperlink r:id="rId6" w:history="1">
                              <w:r w:rsidRPr="009B5474">
                                <w:rPr>
                                  <w:rStyle w:val="Hyperlink"/>
                                  <w:rFonts w:ascii="Arial" w:hAnsi="Arial" w:cs="Arial"/>
                                  <w:sz w:val="24"/>
                                  <w:szCs w:val="24"/>
                                </w:rPr>
                                <w:t>http://learning.hccs.edu/faculty/deborah.adams</w:t>
                              </w:r>
                            </w:hyperlink>
                          </w:p>
                          <w:p w:rsidR="00D93413" w:rsidRDefault="00D93413" w:rsidP="00D93413">
                            <w:pPr>
                              <w:jc w:val="center"/>
                              <w:rPr>
                                <w:rFonts w:ascii="Arial" w:hAnsi="Arial" w:cs="Arial"/>
                              </w:rPr>
                            </w:pPr>
                            <w:r>
                              <w:rPr>
                                <w:rFonts w:ascii="Arial" w:hAnsi="Arial" w:cs="Arial"/>
                              </w:rPr>
                              <w:t>Office: Room 310, Northline</w:t>
                            </w:r>
                          </w:p>
                          <w:p w:rsidR="00D93413" w:rsidRPr="00B61940" w:rsidRDefault="00D93413" w:rsidP="00D93413">
                            <w:pPr>
                              <w:jc w:val="center"/>
                              <w:rPr>
                                <w:rFonts w:ascii="Arial" w:hAnsi="Arial" w:cs="Arial"/>
                              </w:rPr>
                            </w:pPr>
                            <w:r>
                              <w:rPr>
                                <w:rFonts w:ascii="Arial" w:hAnsi="Arial" w:cs="Arial"/>
                              </w:rPr>
                              <w:t>Office Hours:  MW 11-2 or by appointment</w:t>
                            </w:r>
                          </w:p>
                          <w:p w:rsidR="00D93413" w:rsidRPr="00B61940" w:rsidRDefault="00D93413" w:rsidP="00D934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510pt;height:26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">
                <v:textbox>
                  <w:txbxContent>
                    <w:p w:rsidR="00D93413" w:rsidRPr="00B61940" w:rsidRDefault="00D93413" w:rsidP="00D93413">
                      <w:pPr>
                        <w:pStyle w:val="Heading2"/>
                        <w:rPr>
                          <w:rFonts w:ascii="Arial" w:hAnsi="Arial" w:cs="Arial"/>
                        </w:rPr>
                      </w:pPr>
                      <w:r w:rsidRPr="00B61940">
                        <w:rPr>
                          <w:rFonts w:ascii="Arial" w:hAnsi="Arial" w:cs="Arial"/>
                        </w:rPr>
                        <w:t>Course Information</w:t>
                      </w:r>
                      <w:r>
                        <w:rPr>
                          <w:rFonts w:ascii="Arial" w:hAnsi="Arial" w:cs="Arial"/>
                        </w:rPr>
                        <w:br/>
                      </w:r>
                    </w:p>
                    <w:p w:rsidR="00D93413" w:rsidRDefault="00D93413" w:rsidP="00D93413">
                      <w:pPr>
                        <w:ind w:firstLine="720"/>
                        <w:rPr>
                          <w:rFonts w:ascii="Arial" w:hAnsi="Arial" w:cs="Arial"/>
                        </w:rPr>
                      </w:pPr>
                      <w:r w:rsidRPr="00B61940">
                        <w:rPr>
                          <w:rFonts w:ascii="Arial" w:hAnsi="Arial" w:cs="Arial"/>
                        </w:rPr>
                        <w:t>CRN:</w:t>
                      </w:r>
                      <w:r>
                        <w:rPr>
                          <w:rFonts w:ascii="Arial" w:hAnsi="Arial" w:cs="Arial"/>
                        </w:rPr>
                        <w:t xml:space="preserve">  18658</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B61940">
                        <w:rPr>
                          <w:rFonts w:ascii="Arial" w:hAnsi="Arial" w:cs="Arial"/>
                        </w:rPr>
                        <w:t>Credit</w:t>
                      </w:r>
                      <w:proofErr w:type="gramEnd"/>
                      <w:r w:rsidRPr="00B61940">
                        <w:rPr>
                          <w:rFonts w:ascii="Arial" w:hAnsi="Arial" w:cs="Arial"/>
                        </w:rPr>
                        <w:t>: 3 SCH</w:t>
                      </w:r>
                    </w:p>
                    <w:p w:rsidR="00D93413" w:rsidRDefault="00D93413" w:rsidP="00D93413">
                      <w:pPr>
                        <w:ind w:firstLine="720"/>
                        <w:rPr>
                          <w:rFonts w:ascii="Arial" w:hAnsi="Arial" w:cs="Arial"/>
                        </w:rPr>
                      </w:pPr>
                      <w:r>
                        <w:rPr>
                          <w:rFonts w:ascii="Arial" w:hAnsi="Arial" w:cs="Arial"/>
                        </w:rPr>
                        <w:t>Contact Hours: 48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w:t>
                      </w:r>
                      <w:r>
                        <w:rPr>
                          <w:rFonts w:ascii="Arial" w:hAnsi="Arial" w:cs="Arial"/>
                        </w:rPr>
                        <w:t>Northline, MW 7-8:30</w:t>
                      </w:r>
                      <w:r>
                        <w:rPr>
                          <w:rFonts w:ascii="Arial" w:hAnsi="Arial" w:cs="Arial"/>
                        </w:rPr>
                        <w:t xml:space="preserve">, </w:t>
                      </w:r>
                      <w:proofErr w:type="gramStart"/>
                      <w:r>
                        <w:rPr>
                          <w:rFonts w:ascii="Arial" w:hAnsi="Arial" w:cs="Arial"/>
                        </w:rPr>
                        <w:t>R</w:t>
                      </w:r>
                      <w:r>
                        <w:rPr>
                          <w:rFonts w:ascii="Arial" w:hAnsi="Arial" w:cs="Arial"/>
                        </w:rPr>
                        <w:t>m</w:t>
                      </w:r>
                      <w:proofErr w:type="gramEnd"/>
                      <w:r>
                        <w:rPr>
                          <w:rFonts w:ascii="Arial" w:hAnsi="Arial" w:cs="Arial"/>
                        </w:rPr>
                        <w:t xml:space="preserve"> 211</w:t>
                      </w:r>
                    </w:p>
                    <w:p w:rsidR="00D93413" w:rsidRDefault="00D93413" w:rsidP="00D93413">
                      <w:pPr>
                        <w:ind w:firstLine="720"/>
                        <w:rPr>
                          <w:rFonts w:ascii="Arial" w:hAnsi="Arial" w:cs="Arial"/>
                        </w:rPr>
                      </w:pPr>
                      <w:r>
                        <w:rPr>
                          <w:rFonts w:ascii="Arial" w:hAnsi="Arial" w:cs="Arial"/>
                        </w:rPr>
                        <w:t>Course Length/Type of</w:t>
                      </w:r>
                      <w:r>
                        <w:rPr>
                          <w:rFonts w:ascii="Arial" w:hAnsi="Arial" w:cs="Arial"/>
                        </w:rPr>
                        <w:t xml:space="preserve"> Instruction: 16 weeks     </w:t>
                      </w:r>
                      <w:r>
                        <w:rPr>
                          <w:rFonts w:ascii="Arial" w:hAnsi="Arial" w:cs="Arial"/>
                        </w:rPr>
                        <w:t>Semester/Year: Fall 2018</w:t>
                      </w:r>
                    </w:p>
                    <w:p w:rsidR="00D93413" w:rsidRPr="00B61940" w:rsidRDefault="00D93413" w:rsidP="00D93413">
                      <w:pPr>
                        <w:pStyle w:val="Heading2"/>
                        <w:rPr>
                          <w:rFonts w:ascii="Arial" w:hAnsi="Arial" w:cs="Arial"/>
                        </w:rPr>
                      </w:pPr>
                      <w:r>
                        <w:rPr>
                          <w:rFonts w:ascii="Arial" w:hAnsi="Arial" w:cs="Arial"/>
                        </w:rPr>
                        <w:br/>
                      </w:r>
                      <w:r w:rsidRPr="00B61940">
                        <w:rPr>
                          <w:rFonts w:ascii="Arial" w:hAnsi="Arial" w:cs="Arial"/>
                        </w:rPr>
                        <w:t>Instructor Information</w:t>
                      </w:r>
                      <w:r>
                        <w:rPr>
                          <w:rFonts w:ascii="Arial" w:hAnsi="Arial" w:cs="Arial"/>
                        </w:rPr>
                        <w:br/>
                      </w:r>
                    </w:p>
                    <w:p w:rsidR="00D93413" w:rsidRDefault="00D93413" w:rsidP="00D93413">
                      <w:pPr>
                        <w:rPr>
                          <w:rFonts w:ascii="Arial" w:hAnsi="Arial" w:cs="Arial"/>
                        </w:rPr>
                      </w:pPr>
                      <w:r>
                        <w:rPr>
                          <w:rFonts w:ascii="Arial" w:hAnsi="Arial" w:cs="Arial"/>
                        </w:rPr>
                        <w:t>Name:  Deborah Adams</w:t>
                      </w:r>
                      <w:r>
                        <w:rPr>
                          <w:rFonts w:ascii="Arial" w:hAnsi="Arial" w:cs="Arial"/>
                        </w:rPr>
                        <w:tab/>
                        <w:t>Phone:  713-718-2411</w:t>
                      </w:r>
                      <w:r>
                        <w:rPr>
                          <w:rFonts w:ascii="Arial" w:hAnsi="Arial" w:cs="Arial"/>
                        </w:rPr>
                        <w:tab/>
                        <w:t>Email:  deborah.adams@hccs.edu</w:t>
                      </w:r>
                    </w:p>
                    <w:p w:rsidR="00D93413" w:rsidRDefault="00D93413" w:rsidP="00D93413">
                      <w:pPr>
                        <w:jc w:val="center"/>
                        <w:rPr>
                          <w:rFonts w:ascii="Arial" w:hAnsi="Arial" w:cs="Arial"/>
                        </w:rPr>
                      </w:pPr>
                      <w:r>
                        <w:rPr>
                          <w:rFonts w:ascii="Arial" w:hAnsi="Arial" w:cs="Arial"/>
                        </w:rPr>
                        <w:t xml:space="preserve">Learning Web: </w:t>
                      </w:r>
                      <w:hyperlink r:id="rId7" w:history="1">
                        <w:r w:rsidRPr="009B5474">
                          <w:rPr>
                            <w:rStyle w:val="Hyperlink"/>
                            <w:rFonts w:ascii="Arial" w:hAnsi="Arial" w:cs="Arial"/>
                            <w:sz w:val="24"/>
                            <w:szCs w:val="24"/>
                          </w:rPr>
                          <w:t>http://learning.hccs.edu/faculty/deborah.adams</w:t>
                        </w:r>
                      </w:hyperlink>
                    </w:p>
                    <w:p w:rsidR="00D93413" w:rsidRDefault="00D93413" w:rsidP="00D93413">
                      <w:pPr>
                        <w:jc w:val="center"/>
                        <w:rPr>
                          <w:rFonts w:ascii="Arial" w:hAnsi="Arial" w:cs="Arial"/>
                        </w:rPr>
                      </w:pPr>
                      <w:r>
                        <w:rPr>
                          <w:rFonts w:ascii="Arial" w:hAnsi="Arial" w:cs="Arial"/>
                        </w:rPr>
                        <w:t>Office: Room 310, Northline</w:t>
                      </w:r>
                    </w:p>
                    <w:p w:rsidR="00D93413" w:rsidRPr="00B61940" w:rsidRDefault="00D93413" w:rsidP="00D93413">
                      <w:pPr>
                        <w:jc w:val="center"/>
                        <w:rPr>
                          <w:rFonts w:ascii="Arial" w:hAnsi="Arial" w:cs="Arial"/>
                        </w:rPr>
                      </w:pPr>
                      <w:r>
                        <w:rPr>
                          <w:rFonts w:ascii="Arial" w:hAnsi="Arial" w:cs="Arial"/>
                        </w:rPr>
                        <w:t>Office Hours:  MW 11-2 or by appointment</w:t>
                      </w:r>
                    </w:p>
                    <w:p w:rsidR="00D93413" w:rsidRPr="00B61940" w:rsidRDefault="00D93413" w:rsidP="00D93413">
                      <w:pPr>
                        <w:jc w:val="center"/>
                      </w:pPr>
                    </w:p>
                  </w:txbxContent>
                </v:textbox>
              </v:shape>
            </w:pict>
          </mc:Fallback>
        </mc:AlternateConten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noProof/>
          <w:sz w:val="24"/>
          <w:szCs w:val="24"/>
        </w:rPr>
        <mc:AlternateContent>
          <mc:Choice Requires="wps">
            <w:drawing>
              <wp:anchor distT="4294967295" distB="4294967295" distL="114300" distR="114300" simplePos="0" relativeHeight="251660288" behindDoc="0" locked="0" layoutInCell="1" allowOverlap="1" wp14:anchorId="39E0FD9F" wp14:editId="076E878B">
                <wp:simplePos x="0" y="0"/>
                <wp:positionH relativeFrom="column">
                  <wp:posOffset>929005</wp:posOffset>
                </wp:positionH>
                <wp:positionV relativeFrom="paragraph">
                  <wp:posOffset>73659</wp:posOffset>
                </wp:positionV>
                <wp:extent cx="41262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6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">
                <o:lock v:ext="edit" shapetype="f"/>
              </v:line>
            </w:pict>
          </mc:Fallback>
        </mc:AlternateConten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b/>
          <w:sz w:val="24"/>
          <w:szCs w:val="24"/>
          <w:u w:val="single"/>
        </w:rPr>
      </w:pPr>
    </w:p>
    <w:p w:rsidR="00D93413" w:rsidRPr="00D93413" w:rsidRDefault="00D93413" w:rsidP="00D93413">
      <w:pPr>
        <w:spacing w:after="0" w:line="240" w:lineRule="auto"/>
        <w:rPr>
          <w:rFonts w:eastAsia="Calibri" w:cstheme="minorHAnsi"/>
          <w:b/>
          <w:sz w:val="24"/>
          <w:szCs w:val="24"/>
          <w:u w:val="single"/>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b/>
          <w:sz w:val="24"/>
          <w:szCs w:val="24"/>
          <w:u w:val="single"/>
        </w:rPr>
        <w:br/>
        <w:t>Course Description</w:t>
      </w:r>
      <w:r w:rsidRPr="00D93413">
        <w:rPr>
          <w:rFonts w:eastAsia="Calibri" w:cstheme="minorHAnsi"/>
          <w:b/>
          <w:sz w:val="24"/>
          <w:szCs w:val="24"/>
        </w:rPr>
        <w:t xml:space="preserve">: </w:t>
      </w:r>
      <w:r w:rsidRPr="00D93413">
        <w:rPr>
          <w:rFonts w:eastAsia="Calibri" w:cstheme="minorHAnsi"/>
          <w:sz w:val="24"/>
          <w:szCs w:val="24"/>
        </w:rPr>
        <w:t xml:space="preserve">A </w:t>
      </w:r>
      <w:proofErr w:type="spellStart"/>
      <w:r w:rsidRPr="00D93413">
        <w:rPr>
          <w:rFonts w:eastAsia="Calibri" w:cstheme="minorHAnsi"/>
          <w:sz w:val="24"/>
          <w:szCs w:val="24"/>
        </w:rPr>
        <w:t>corequisite</w:t>
      </w:r>
      <w:proofErr w:type="spellEnd"/>
      <w:r w:rsidRPr="00D93413">
        <w:rPr>
          <w:rFonts w:eastAsia="Calibri" w:cstheme="minorHAnsi"/>
          <w:sz w:val="24"/>
          <w:szCs w:val="24"/>
        </w:rPr>
        <w:t xml:space="preserve"> course in support of English 1301: Intensive study of and </w:t>
      </w:r>
      <w:bookmarkStart w:id="0" w:name="_GoBack"/>
      <w:r w:rsidRPr="00D93413">
        <w:rPr>
          <w:rFonts w:eastAsia="Calibri" w:cstheme="minorHAnsi"/>
          <w:sz w:val="24"/>
          <w:szCs w:val="24"/>
        </w:rPr>
        <w:t xml:space="preserve">practice in writing processes, from invention and researching to drafting, revising, and editing, </w:t>
      </w:r>
      <w:bookmarkEnd w:id="0"/>
      <w:r w:rsidRPr="00D93413">
        <w:rPr>
          <w:rFonts w:eastAsia="Calibri" w:cstheme="minorHAnsi"/>
          <w:sz w:val="24"/>
          <w:szCs w:val="24"/>
        </w:rPr>
        <w:t xml:space="preserve">both individually and collaboratively. </w:t>
      </w:r>
      <w:proofErr w:type="gramStart"/>
      <w:r w:rsidRPr="00D93413">
        <w:rPr>
          <w:rFonts w:eastAsia="Calibri" w:cstheme="minorHAnsi"/>
          <w:sz w:val="24"/>
          <w:szCs w:val="24"/>
        </w:rPr>
        <w:t>Emphasis on effective rhetorical choices, including audience, purpose, arrangement, and style.</w:t>
      </w:r>
      <w:proofErr w:type="gramEnd"/>
      <w:r w:rsidRPr="00D93413">
        <w:rPr>
          <w:rFonts w:eastAsia="Calibri" w:cstheme="minorHAnsi"/>
          <w:sz w:val="24"/>
          <w:szCs w:val="24"/>
        </w:rPr>
        <w:t xml:space="preserve"> Focus on writing the academic essay as a vehicle for learning, communicating, and critical analysis. </w:t>
      </w:r>
      <w:proofErr w:type="gramStart"/>
      <w:r w:rsidRPr="00D93413">
        <w:rPr>
          <w:rFonts w:eastAsia="Calibri" w:cstheme="minorHAnsi"/>
          <w:sz w:val="24"/>
          <w:szCs w:val="24"/>
        </w:rPr>
        <w:t>Core curriculum course.</w:t>
      </w:r>
      <w:proofErr w:type="gramEnd"/>
      <w:r w:rsidRPr="00D93413">
        <w:rPr>
          <w:rFonts w:eastAsia="Calibri" w:cstheme="minorHAnsi"/>
          <w:sz w:val="24"/>
          <w:szCs w:val="24"/>
        </w:rPr>
        <w:t xml:space="preserve"> </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b/>
          <w:sz w:val="24"/>
          <w:szCs w:val="24"/>
          <w:u w:val="single"/>
        </w:rPr>
        <w:t>Student Learning Outcomes</w:t>
      </w:r>
      <w:r w:rsidRPr="00D93413">
        <w:rPr>
          <w:rFonts w:eastAsia="Calibri" w:cstheme="minorHAnsi"/>
          <w:b/>
          <w:sz w:val="24"/>
          <w:szCs w:val="24"/>
        </w:rPr>
        <w:t xml:space="preserve">: </w:t>
      </w:r>
      <w:r w:rsidRPr="00D93413">
        <w:rPr>
          <w:rFonts w:eastAsia="Calibri" w:cstheme="minorHAnsi"/>
          <w:sz w:val="24"/>
          <w:szCs w:val="24"/>
        </w:rPr>
        <w:t>Upon successful completion of this course, students will:</w:t>
      </w:r>
    </w:p>
    <w:p w:rsidR="00D93413" w:rsidRPr="00D93413" w:rsidRDefault="00D93413" w:rsidP="00D93413">
      <w:pPr>
        <w:numPr>
          <w:ilvl w:val="0"/>
          <w:numId w:val="1"/>
        </w:numPr>
        <w:spacing w:after="0" w:line="240" w:lineRule="auto"/>
        <w:contextualSpacing/>
        <w:rPr>
          <w:rFonts w:eastAsia="Calibri" w:cstheme="minorHAnsi"/>
          <w:sz w:val="24"/>
          <w:szCs w:val="24"/>
        </w:rPr>
      </w:pPr>
      <w:r w:rsidRPr="00D93413">
        <w:rPr>
          <w:rFonts w:eastAsia="Calibri" w:cstheme="minorHAnsi"/>
          <w:sz w:val="24"/>
          <w:szCs w:val="24"/>
        </w:rPr>
        <w:t>Demonstrate knowledge of individual and collaborative writing processes.</w:t>
      </w:r>
    </w:p>
    <w:p w:rsidR="00D93413" w:rsidRPr="00D93413" w:rsidRDefault="00D93413" w:rsidP="00D93413">
      <w:pPr>
        <w:numPr>
          <w:ilvl w:val="0"/>
          <w:numId w:val="1"/>
        </w:numPr>
        <w:spacing w:after="0" w:line="240" w:lineRule="auto"/>
        <w:contextualSpacing/>
        <w:rPr>
          <w:rFonts w:eastAsia="Calibri" w:cstheme="minorHAnsi"/>
          <w:sz w:val="24"/>
          <w:szCs w:val="24"/>
        </w:rPr>
      </w:pPr>
      <w:r w:rsidRPr="00D93413">
        <w:rPr>
          <w:rFonts w:eastAsia="Calibri" w:cstheme="minorHAnsi"/>
          <w:sz w:val="24"/>
          <w:szCs w:val="24"/>
        </w:rPr>
        <w:t>Develop ideas with appropriate support and attribution.</w:t>
      </w:r>
    </w:p>
    <w:p w:rsidR="00D93413" w:rsidRPr="00D93413" w:rsidRDefault="00D93413" w:rsidP="00D93413">
      <w:pPr>
        <w:numPr>
          <w:ilvl w:val="0"/>
          <w:numId w:val="1"/>
        </w:numPr>
        <w:spacing w:after="0" w:line="240" w:lineRule="auto"/>
        <w:contextualSpacing/>
        <w:rPr>
          <w:rFonts w:eastAsia="Calibri" w:cstheme="minorHAnsi"/>
          <w:sz w:val="24"/>
          <w:szCs w:val="24"/>
        </w:rPr>
      </w:pPr>
      <w:r w:rsidRPr="00D93413">
        <w:rPr>
          <w:rFonts w:eastAsia="Calibri" w:cstheme="minorHAnsi"/>
          <w:sz w:val="24"/>
          <w:szCs w:val="24"/>
        </w:rPr>
        <w:t>Write in a style appropriate to audience and purpose</w:t>
      </w:r>
    </w:p>
    <w:p w:rsidR="00D93413" w:rsidRPr="00D93413" w:rsidRDefault="00D93413" w:rsidP="00D93413">
      <w:pPr>
        <w:numPr>
          <w:ilvl w:val="0"/>
          <w:numId w:val="1"/>
        </w:numPr>
        <w:spacing w:after="0" w:line="240" w:lineRule="auto"/>
        <w:contextualSpacing/>
        <w:rPr>
          <w:rFonts w:eastAsia="Calibri" w:cstheme="minorHAnsi"/>
          <w:sz w:val="24"/>
          <w:szCs w:val="24"/>
        </w:rPr>
      </w:pPr>
      <w:r w:rsidRPr="00D93413">
        <w:rPr>
          <w:rFonts w:eastAsia="Calibri" w:cstheme="minorHAnsi"/>
          <w:sz w:val="24"/>
          <w:szCs w:val="24"/>
        </w:rPr>
        <w:t>Read, reflect, and respond critically to a variety of texts.</w:t>
      </w:r>
    </w:p>
    <w:p w:rsidR="00D93413" w:rsidRPr="00D93413" w:rsidRDefault="00D93413" w:rsidP="00D93413">
      <w:pPr>
        <w:numPr>
          <w:ilvl w:val="0"/>
          <w:numId w:val="1"/>
        </w:numPr>
        <w:spacing w:after="0" w:line="240" w:lineRule="auto"/>
        <w:contextualSpacing/>
        <w:rPr>
          <w:rFonts w:eastAsia="Calibri" w:cstheme="minorHAnsi"/>
          <w:sz w:val="24"/>
          <w:szCs w:val="24"/>
        </w:rPr>
      </w:pPr>
      <w:r w:rsidRPr="00D93413">
        <w:rPr>
          <w:rFonts w:eastAsia="Calibri" w:cstheme="minorHAnsi"/>
          <w:sz w:val="24"/>
          <w:szCs w:val="24"/>
        </w:rPr>
        <w:t>Use Edited American English in academic essays.</w:t>
      </w:r>
    </w:p>
    <w:p w:rsidR="00D93413" w:rsidRPr="00D93413" w:rsidRDefault="00D93413" w:rsidP="00D93413">
      <w:pPr>
        <w:tabs>
          <w:tab w:val="left" w:pos="-180"/>
          <w:tab w:val="left" w:pos="90"/>
        </w:tabs>
        <w:spacing w:after="0" w:line="240" w:lineRule="auto"/>
        <w:ind w:left="630"/>
        <w:contextualSpacing/>
        <w:rPr>
          <w:rFonts w:eastAsia="Calibri" w:cstheme="minorHAnsi"/>
          <w:b/>
          <w:bCs/>
          <w:sz w:val="24"/>
          <w:szCs w:val="24"/>
        </w:rPr>
      </w:pPr>
    </w:p>
    <w:p w:rsidR="00D93413" w:rsidRPr="00D93413" w:rsidRDefault="00D93413" w:rsidP="00D93413">
      <w:pPr>
        <w:tabs>
          <w:tab w:val="left" w:pos="-180"/>
          <w:tab w:val="left" w:pos="90"/>
        </w:tabs>
        <w:spacing w:after="0" w:line="240" w:lineRule="auto"/>
        <w:rPr>
          <w:rFonts w:eastAsia="Calibri" w:cstheme="minorHAnsi"/>
          <w:b/>
          <w:bCs/>
          <w:sz w:val="24"/>
          <w:szCs w:val="24"/>
          <w:u w:val="single"/>
        </w:rPr>
      </w:pPr>
      <w:r w:rsidRPr="00D93413">
        <w:rPr>
          <w:rFonts w:eastAsia="Calibri" w:cstheme="minorHAnsi"/>
          <w:b/>
          <w:bCs/>
          <w:sz w:val="24"/>
          <w:szCs w:val="24"/>
          <w:u w:val="single"/>
        </w:rPr>
        <w:t>English Program Learning Outcomes</w:t>
      </w:r>
    </w:p>
    <w:p w:rsidR="00D93413" w:rsidRPr="00D93413" w:rsidRDefault="00D93413" w:rsidP="00D93413">
      <w:pPr>
        <w:numPr>
          <w:ilvl w:val="0"/>
          <w:numId w:val="3"/>
        </w:numPr>
        <w:tabs>
          <w:tab w:val="left" w:pos="-180"/>
          <w:tab w:val="left" w:pos="90"/>
        </w:tabs>
        <w:spacing w:after="0" w:line="240" w:lineRule="auto"/>
        <w:contextualSpacing/>
        <w:rPr>
          <w:rFonts w:eastAsia="Calibri" w:cstheme="minorHAnsi"/>
          <w:b/>
          <w:bCs/>
          <w:sz w:val="24"/>
          <w:szCs w:val="24"/>
        </w:rPr>
      </w:pPr>
      <w:r w:rsidRPr="00D93413">
        <w:rPr>
          <w:rFonts w:eastAsia="Calibri" w:cstheme="minorHAnsi"/>
          <w:bCs/>
          <w:sz w:val="24"/>
          <w:szCs w:val="24"/>
        </w:rPr>
        <w:t xml:space="preserve">Write in appropriate genres using varied rhetorical strategies. </w:t>
      </w:r>
    </w:p>
    <w:p w:rsidR="00D93413" w:rsidRPr="00D93413" w:rsidRDefault="00D93413" w:rsidP="00D93413">
      <w:pPr>
        <w:numPr>
          <w:ilvl w:val="0"/>
          <w:numId w:val="3"/>
        </w:numPr>
        <w:tabs>
          <w:tab w:val="left" w:pos="-180"/>
          <w:tab w:val="left" w:pos="90"/>
        </w:tabs>
        <w:spacing w:after="0" w:line="240" w:lineRule="auto"/>
        <w:contextualSpacing/>
        <w:rPr>
          <w:rFonts w:eastAsia="Calibri" w:cstheme="minorHAnsi"/>
          <w:b/>
          <w:bCs/>
          <w:sz w:val="24"/>
          <w:szCs w:val="24"/>
        </w:rPr>
      </w:pPr>
      <w:r w:rsidRPr="00D93413">
        <w:rPr>
          <w:rFonts w:eastAsia="Calibri" w:cstheme="minorHAnsi"/>
          <w:bCs/>
          <w:sz w:val="24"/>
          <w:szCs w:val="24"/>
        </w:rPr>
        <w:t xml:space="preserve">Write in appropriate genres to explain and evaluate rhetorical and/or literary strategies employed in argument, persuasion, and various genres. </w:t>
      </w:r>
    </w:p>
    <w:p w:rsidR="00D93413" w:rsidRPr="00D93413" w:rsidRDefault="00D93413" w:rsidP="00D93413">
      <w:pPr>
        <w:numPr>
          <w:ilvl w:val="0"/>
          <w:numId w:val="3"/>
        </w:numPr>
        <w:tabs>
          <w:tab w:val="left" w:pos="-180"/>
          <w:tab w:val="left" w:pos="90"/>
        </w:tabs>
        <w:spacing w:after="0" w:line="240" w:lineRule="auto"/>
        <w:contextualSpacing/>
        <w:rPr>
          <w:rFonts w:eastAsia="Calibri" w:cstheme="minorHAnsi"/>
          <w:b/>
          <w:bCs/>
          <w:sz w:val="24"/>
          <w:szCs w:val="24"/>
        </w:rPr>
      </w:pPr>
      <w:r w:rsidRPr="00D93413">
        <w:rPr>
          <w:rFonts w:eastAsia="Calibri" w:cstheme="minorHAnsi"/>
          <w:bCs/>
          <w:sz w:val="24"/>
          <w:szCs w:val="24"/>
        </w:rPr>
        <w:t xml:space="preserve">Analyze various genres of writing for form, method, meaning, and interpretation. </w:t>
      </w:r>
    </w:p>
    <w:p w:rsidR="00D93413" w:rsidRPr="00D93413" w:rsidRDefault="00D93413" w:rsidP="00D93413">
      <w:pPr>
        <w:numPr>
          <w:ilvl w:val="0"/>
          <w:numId w:val="3"/>
        </w:numPr>
        <w:tabs>
          <w:tab w:val="left" w:pos="-180"/>
          <w:tab w:val="left" w:pos="90"/>
        </w:tabs>
        <w:spacing w:after="0" w:line="240" w:lineRule="auto"/>
        <w:contextualSpacing/>
        <w:rPr>
          <w:rFonts w:eastAsia="Calibri" w:cstheme="minorHAnsi"/>
          <w:b/>
          <w:bCs/>
          <w:sz w:val="24"/>
          <w:szCs w:val="24"/>
        </w:rPr>
      </w:pPr>
      <w:r w:rsidRPr="00D93413">
        <w:rPr>
          <w:rFonts w:eastAsia="Calibri" w:cstheme="minorHAnsi"/>
          <w:bCs/>
          <w:sz w:val="24"/>
          <w:szCs w:val="24"/>
        </w:rPr>
        <w:t xml:space="preserve">Employ research in academic writing styles and use appropriate documentation style. </w:t>
      </w:r>
    </w:p>
    <w:p w:rsidR="00D93413" w:rsidRPr="00D93413" w:rsidRDefault="00D93413" w:rsidP="00D93413">
      <w:pPr>
        <w:numPr>
          <w:ilvl w:val="0"/>
          <w:numId w:val="3"/>
        </w:numPr>
        <w:tabs>
          <w:tab w:val="left" w:pos="-180"/>
          <w:tab w:val="left" w:pos="90"/>
        </w:tabs>
        <w:spacing w:after="0" w:line="240" w:lineRule="auto"/>
        <w:contextualSpacing/>
        <w:rPr>
          <w:rFonts w:eastAsia="Calibri" w:cstheme="minorHAnsi"/>
          <w:sz w:val="24"/>
          <w:szCs w:val="24"/>
        </w:rPr>
      </w:pPr>
      <w:r w:rsidRPr="00D93413">
        <w:rPr>
          <w:rFonts w:eastAsia="Calibri" w:cstheme="minorHAnsi"/>
          <w:bCs/>
          <w:sz w:val="24"/>
          <w:szCs w:val="24"/>
        </w:rPr>
        <w:t xml:space="preserve">Communicate ideas effectively through discussion. </w:t>
      </w:r>
    </w:p>
    <w:p w:rsidR="00D93413" w:rsidRPr="00D93413" w:rsidRDefault="00D93413" w:rsidP="00D93413">
      <w:pPr>
        <w:keepNext/>
        <w:spacing w:after="0" w:line="240" w:lineRule="auto"/>
        <w:outlineLvl w:val="2"/>
        <w:rPr>
          <w:rFonts w:eastAsia="Calibri" w:cstheme="minorHAnsi"/>
          <w:sz w:val="24"/>
          <w:szCs w:val="24"/>
        </w:rPr>
      </w:pPr>
      <w:r w:rsidRPr="00D93413">
        <w:rPr>
          <w:rFonts w:eastAsia="Calibri" w:cstheme="minorHAnsi"/>
          <w:b/>
          <w:sz w:val="24"/>
          <w:szCs w:val="24"/>
          <w:u w:val="single"/>
        </w:rPr>
        <w:lastRenderedPageBreak/>
        <w:t>Core Objectives</w:t>
      </w:r>
      <w:r w:rsidRPr="00D93413">
        <w:rPr>
          <w:rFonts w:eastAsia="Calibri" w:cstheme="minorHAnsi"/>
          <w:b/>
          <w:sz w:val="24"/>
          <w:szCs w:val="24"/>
        </w:rPr>
        <w:t xml:space="preserve">: </w:t>
      </w:r>
      <w:r w:rsidRPr="00D93413">
        <w:rPr>
          <w:rFonts w:eastAsia="Calibri" w:cstheme="minorHAnsi"/>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Students enrolled in this core curriculum course will complete assignments designed to cultivate the following core objectives:</w:t>
      </w:r>
    </w:p>
    <w:p w:rsidR="00D93413" w:rsidRPr="00D93413" w:rsidRDefault="00D93413" w:rsidP="00D93413">
      <w:pPr>
        <w:numPr>
          <w:ilvl w:val="0"/>
          <w:numId w:val="2"/>
        </w:numPr>
        <w:spacing w:after="0" w:line="240" w:lineRule="auto"/>
        <w:contextualSpacing/>
        <w:rPr>
          <w:rFonts w:eastAsia="Calibri" w:cstheme="minorHAnsi"/>
          <w:sz w:val="24"/>
          <w:szCs w:val="24"/>
        </w:rPr>
      </w:pPr>
      <w:r w:rsidRPr="00D93413">
        <w:rPr>
          <w:rFonts w:eastAsia="Calibri" w:cstheme="minorHAnsi"/>
          <w:b/>
          <w:sz w:val="24"/>
          <w:szCs w:val="24"/>
        </w:rPr>
        <w:t>Critical Thinking Skills—</w:t>
      </w:r>
      <w:r w:rsidRPr="00D93413">
        <w:rPr>
          <w:rFonts w:eastAsia="Calibri" w:cstheme="minorHAnsi"/>
          <w:sz w:val="24"/>
          <w:szCs w:val="24"/>
        </w:rPr>
        <w:t>to include creative thinking, innovation, inquiry, and analysis, evaluation and synthesis of information.</w:t>
      </w:r>
    </w:p>
    <w:p w:rsidR="00D93413" w:rsidRPr="00D93413" w:rsidRDefault="00D93413" w:rsidP="00D93413">
      <w:pPr>
        <w:numPr>
          <w:ilvl w:val="0"/>
          <w:numId w:val="2"/>
        </w:numPr>
        <w:spacing w:after="0" w:line="240" w:lineRule="auto"/>
        <w:contextualSpacing/>
        <w:rPr>
          <w:rFonts w:eastAsia="Calibri" w:cstheme="minorHAnsi"/>
          <w:sz w:val="24"/>
          <w:szCs w:val="24"/>
        </w:rPr>
      </w:pPr>
      <w:r w:rsidRPr="00D93413">
        <w:rPr>
          <w:rFonts w:eastAsia="Calibri" w:cstheme="minorHAnsi"/>
          <w:b/>
          <w:sz w:val="24"/>
          <w:szCs w:val="24"/>
        </w:rPr>
        <w:t>Communication Skills</w:t>
      </w:r>
      <w:r w:rsidRPr="00D93413">
        <w:rPr>
          <w:rFonts w:eastAsia="Calibri" w:cstheme="minorHAnsi"/>
          <w:sz w:val="24"/>
          <w:szCs w:val="24"/>
        </w:rPr>
        <w:t>—to include effective development, interpretation and expression of ideas through written, oral and visual communication.</w:t>
      </w:r>
    </w:p>
    <w:p w:rsidR="00D93413" w:rsidRPr="00D93413" w:rsidRDefault="00D93413" w:rsidP="00D93413">
      <w:pPr>
        <w:numPr>
          <w:ilvl w:val="0"/>
          <w:numId w:val="2"/>
        </w:numPr>
        <w:spacing w:after="0" w:line="240" w:lineRule="auto"/>
        <w:contextualSpacing/>
        <w:rPr>
          <w:rFonts w:eastAsia="Calibri" w:cstheme="minorHAnsi"/>
          <w:sz w:val="24"/>
          <w:szCs w:val="24"/>
        </w:rPr>
      </w:pPr>
      <w:r w:rsidRPr="00D93413">
        <w:rPr>
          <w:rFonts w:eastAsia="Calibri" w:cstheme="minorHAnsi"/>
          <w:b/>
          <w:sz w:val="24"/>
          <w:szCs w:val="24"/>
        </w:rPr>
        <w:t>Personal Responsibility</w:t>
      </w:r>
      <w:r w:rsidRPr="00D93413">
        <w:rPr>
          <w:rFonts w:eastAsia="Calibri" w:cstheme="minorHAnsi"/>
          <w:sz w:val="24"/>
          <w:szCs w:val="24"/>
        </w:rPr>
        <w:t>—to include the ability to connect choices, actions, and consequences to ethical decision-making.</w:t>
      </w:r>
    </w:p>
    <w:p w:rsidR="00D93413" w:rsidRPr="00D93413" w:rsidRDefault="00D93413" w:rsidP="00D93413">
      <w:pPr>
        <w:numPr>
          <w:ilvl w:val="0"/>
          <w:numId w:val="2"/>
        </w:numPr>
        <w:spacing w:after="0" w:line="240" w:lineRule="auto"/>
        <w:contextualSpacing/>
        <w:rPr>
          <w:rFonts w:eastAsia="Calibri" w:cstheme="minorHAnsi"/>
          <w:sz w:val="24"/>
          <w:szCs w:val="24"/>
        </w:rPr>
      </w:pPr>
      <w:r w:rsidRPr="00D93413">
        <w:rPr>
          <w:rFonts w:eastAsia="Calibri" w:cstheme="minorHAnsi"/>
          <w:b/>
          <w:sz w:val="24"/>
          <w:szCs w:val="24"/>
        </w:rPr>
        <w:t>Teamwork</w:t>
      </w:r>
      <w:r w:rsidRPr="00D93413">
        <w:rPr>
          <w:rFonts w:eastAsia="Calibri" w:cstheme="minorHAnsi"/>
          <w:sz w:val="24"/>
          <w:szCs w:val="24"/>
        </w:rPr>
        <w:t>—to include the ability to consider different points of view and to work effectively with others to support a shared purpose or goal.</w:t>
      </w:r>
    </w:p>
    <w:p w:rsidR="00D93413" w:rsidRPr="00D93413" w:rsidRDefault="00D93413" w:rsidP="00D93413">
      <w:pPr>
        <w:spacing w:after="0" w:line="240" w:lineRule="auto"/>
        <w:rPr>
          <w:rFonts w:eastAsia="Calibri" w:cstheme="minorHAnsi"/>
          <w:b/>
          <w:sz w:val="24"/>
          <w:szCs w:val="24"/>
          <w:u w:val="single"/>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b/>
          <w:sz w:val="24"/>
          <w:szCs w:val="24"/>
          <w:u w:val="single"/>
        </w:rPr>
        <w:t>Course Materials</w:t>
      </w:r>
      <w:r w:rsidRPr="00D93413">
        <w:rPr>
          <w:rFonts w:eastAsia="Calibri" w:cstheme="minorHAnsi"/>
          <w:b/>
          <w:sz w:val="24"/>
          <w:szCs w:val="24"/>
        </w:rPr>
        <w:t xml:space="preserve">: </w:t>
      </w:r>
      <w:r w:rsidRPr="00D93413">
        <w:rPr>
          <w:rFonts w:eastAsia="Calibri" w:cstheme="minorHAnsi"/>
          <w:i/>
          <w:sz w:val="24"/>
          <w:szCs w:val="24"/>
        </w:rPr>
        <w:t>The Little Eagle Handbook</w:t>
      </w:r>
      <w:r w:rsidRPr="00D93413">
        <w:rPr>
          <w:rFonts w:eastAsia="Calibri" w:cstheme="minorHAnsi"/>
          <w:sz w:val="24"/>
          <w:szCs w:val="24"/>
        </w:rPr>
        <w:t xml:space="preserve"> by Richard Bullock, Michal Brody and Francine Weinberg, ISBN 978-0-393-67202-2</w:t>
      </w:r>
    </w:p>
    <w:p w:rsidR="00D93413" w:rsidRPr="00D93413" w:rsidRDefault="00D93413" w:rsidP="00D93413">
      <w:pPr>
        <w:spacing w:after="0" w:line="240" w:lineRule="auto"/>
        <w:rPr>
          <w:rFonts w:eastAsia="Calibri" w:cstheme="minorHAnsi"/>
          <w:b/>
          <w:sz w:val="24"/>
          <w:szCs w:val="24"/>
        </w:rPr>
      </w:pPr>
    </w:p>
    <w:p w:rsidR="00D93413" w:rsidRPr="00D93413" w:rsidRDefault="00D93413" w:rsidP="00D93413">
      <w:pPr>
        <w:spacing w:after="0" w:line="240" w:lineRule="auto"/>
        <w:rPr>
          <w:rFonts w:eastAsia="Calibri" w:cstheme="minorHAnsi"/>
          <w:b/>
          <w:sz w:val="24"/>
          <w:szCs w:val="24"/>
        </w:rPr>
      </w:pPr>
      <w:r w:rsidRPr="00D93413">
        <w:rPr>
          <w:rFonts w:eastAsia="Calibri" w:cstheme="minorHAnsi"/>
          <w:b/>
          <w:sz w:val="24"/>
          <w:szCs w:val="24"/>
          <w:u w:val="single"/>
        </w:rPr>
        <w:t>Course Requirements</w:t>
      </w:r>
      <w:r w:rsidRPr="00D93413">
        <w:rPr>
          <w:rFonts w:eastAsia="Calibri" w:cstheme="minorHAnsi"/>
          <w:b/>
          <w:sz w:val="24"/>
          <w:szCs w:val="24"/>
        </w:rPr>
        <w:t xml:space="preserve">: </w:t>
      </w:r>
    </w:p>
    <w:p w:rsidR="00D93413" w:rsidRPr="00D93413" w:rsidRDefault="00D93413" w:rsidP="00D93413">
      <w:pPr>
        <w:spacing w:after="0" w:line="240" w:lineRule="auto"/>
        <w:jc w:val="center"/>
        <w:rPr>
          <w:rFonts w:eastAsia="Calibri" w:cstheme="minorHAnsi"/>
          <w:b/>
          <w:sz w:val="24"/>
          <w:szCs w:val="24"/>
        </w:rPr>
      </w:pPr>
    </w:p>
    <w:p w:rsidR="00D93413" w:rsidRPr="00D93413" w:rsidRDefault="00D93413" w:rsidP="00D93413">
      <w:pPr>
        <w:spacing w:after="0" w:line="240" w:lineRule="auto"/>
        <w:jc w:val="center"/>
        <w:rPr>
          <w:rFonts w:eastAsia="Calibri" w:cstheme="minorHAnsi"/>
          <w:b/>
          <w:sz w:val="24"/>
          <w:szCs w:val="24"/>
        </w:rPr>
      </w:pPr>
      <w:r w:rsidRPr="00D93413">
        <w:rPr>
          <w:rFonts w:eastAsia="Calibri" w:cstheme="minorHAnsi"/>
          <w:b/>
          <w:sz w:val="24"/>
          <w:szCs w:val="24"/>
        </w:rPr>
        <w:t>WEEKLY CALENDAR</w:t>
      </w:r>
    </w:p>
    <w:p w:rsidR="00D93413" w:rsidRPr="00D93413" w:rsidRDefault="00D93413" w:rsidP="00D93413">
      <w:pPr>
        <w:spacing w:after="0" w:line="240" w:lineRule="auto"/>
        <w:jc w:val="center"/>
        <w:rPr>
          <w:rFonts w:eastAsia="Calibri" w:cstheme="minorHAnsi"/>
          <w:b/>
          <w:sz w:val="24"/>
          <w:szCs w:val="24"/>
        </w:rPr>
      </w:pPr>
      <w:r w:rsidRPr="00D93413">
        <w:rPr>
          <w:rFonts w:eastAsia="Calibri" w:cstheme="minorHAnsi"/>
          <w:b/>
          <w:sz w:val="24"/>
          <w:szCs w:val="24"/>
        </w:rPr>
        <w:t>(Scheduled Activities or Materials, Subject to Change by Instructor)</w:t>
      </w:r>
    </w:p>
    <w:p w:rsidR="00D93413" w:rsidRPr="00D93413" w:rsidRDefault="00D93413" w:rsidP="00D93413">
      <w:pPr>
        <w:spacing w:after="0" w:line="240" w:lineRule="auto"/>
        <w:jc w:val="center"/>
        <w:rPr>
          <w:rFonts w:eastAsia="Calibri" w:cstheme="minorHAnsi"/>
          <w:b/>
          <w:sz w:val="24"/>
          <w:szCs w:val="24"/>
        </w:rPr>
      </w:pPr>
    </w:p>
    <w:tbl>
      <w:tblPr>
        <w:tblW w:w="9260" w:type="dxa"/>
        <w:tblInd w:w="118" w:type="dxa"/>
        <w:tblLook w:val="04A0" w:firstRow="1" w:lastRow="0" w:firstColumn="1" w:lastColumn="0" w:noHBand="0" w:noVBand="1"/>
      </w:tblPr>
      <w:tblGrid>
        <w:gridCol w:w="1700"/>
        <w:gridCol w:w="5220"/>
        <w:gridCol w:w="2340"/>
      </w:tblGrid>
      <w:tr w:rsidR="00D93413" w:rsidRPr="00D93413" w:rsidTr="001A15CE">
        <w:trPr>
          <w:trHeight w:val="663"/>
        </w:trPr>
        <w:tc>
          <w:tcPr>
            <w:tcW w:w="1700" w:type="dxa"/>
            <w:tcBorders>
              <w:top w:val="single" w:sz="8" w:space="0" w:color="auto"/>
              <w:left w:val="single" w:sz="8" w:space="0" w:color="auto"/>
              <w:bottom w:val="single" w:sz="8" w:space="0" w:color="auto"/>
              <w:right w:val="nil"/>
            </w:tcBorders>
            <w:shd w:val="clear" w:color="auto" w:fill="auto"/>
            <w:vAlign w:val="center"/>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Topics</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Activities</w:t>
            </w:r>
          </w:p>
        </w:tc>
      </w:tr>
      <w:tr w:rsidR="00D93413" w:rsidRPr="00D93413" w:rsidTr="001A15CE">
        <w:trPr>
          <w:trHeight w:val="63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Weeks 1-3</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xml:space="preserve">WRITING PROCESSES </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single" w:sz="8" w:space="0" w:color="auto"/>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Peer review</w:t>
            </w:r>
          </w:p>
        </w:tc>
        <w:tc>
          <w:tcPr>
            <w:tcW w:w="2340" w:type="dxa"/>
            <w:tcBorders>
              <w:top w:val="single" w:sz="8" w:space="0" w:color="auto"/>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Group presentations</w:t>
            </w:r>
          </w:p>
        </w:tc>
        <w:tc>
          <w:tcPr>
            <w:tcW w:w="2340" w:type="dxa"/>
            <w:tcBorders>
              <w:top w:val="nil"/>
              <w:left w:val="nil"/>
              <w:bottom w:val="nil"/>
              <w:right w:val="single" w:sz="8" w:space="0" w:color="auto"/>
            </w:tcBorders>
            <w:shd w:val="clear" w:color="auto" w:fill="auto"/>
            <w:vAlign w:val="bottom"/>
          </w:tcPr>
          <w:p w:rsidR="00D93413" w:rsidRPr="00D93413" w:rsidRDefault="00D93413" w:rsidP="00D93413">
            <w:pPr>
              <w:spacing w:after="0" w:line="240" w:lineRule="auto"/>
              <w:rPr>
                <w:rFonts w:eastAsia="Times New Roman" w:cstheme="minorHAnsi"/>
                <w:color w:val="000000"/>
                <w:sz w:val="24"/>
                <w:szCs w:val="24"/>
              </w:rPr>
            </w:pP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In-class writing workshops</w:t>
            </w:r>
          </w:p>
        </w:tc>
        <w:tc>
          <w:tcPr>
            <w:tcW w:w="2340" w:type="dxa"/>
            <w:tcBorders>
              <w:top w:val="nil"/>
              <w:left w:val="nil"/>
              <w:bottom w:val="nil"/>
              <w:right w:val="single" w:sz="8" w:space="0" w:color="auto"/>
            </w:tcBorders>
            <w:shd w:val="clear" w:color="auto" w:fill="auto"/>
            <w:vAlign w:val="bottom"/>
          </w:tcPr>
          <w:p w:rsidR="00D93413" w:rsidRPr="00D93413" w:rsidRDefault="00D93413" w:rsidP="00D93413">
            <w:pPr>
              <w:spacing w:after="0" w:line="240" w:lineRule="auto"/>
              <w:rPr>
                <w:rFonts w:eastAsia="Times New Roman" w:cstheme="minorHAnsi"/>
                <w:color w:val="000000"/>
                <w:sz w:val="24"/>
                <w:szCs w:val="24"/>
              </w:rPr>
            </w:pPr>
          </w:p>
        </w:tc>
      </w:tr>
      <w:tr w:rsidR="00D93413" w:rsidRPr="00D93413" w:rsidTr="001A15CE">
        <w:trPr>
          <w:trHeight w:val="576"/>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Lessons on outlining / generating ideas / brainstorming</w:t>
            </w:r>
          </w:p>
        </w:tc>
        <w:tc>
          <w:tcPr>
            <w:tcW w:w="2340" w:type="dxa"/>
            <w:tcBorders>
              <w:top w:val="nil"/>
              <w:left w:val="nil"/>
              <w:bottom w:val="nil"/>
              <w:right w:val="single" w:sz="8" w:space="0" w:color="auto"/>
            </w:tcBorders>
            <w:shd w:val="clear" w:color="auto" w:fill="auto"/>
            <w:vAlign w:val="bottom"/>
          </w:tcPr>
          <w:p w:rsidR="00D93413" w:rsidRPr="00D93413" w:rsidRDefault="00D93413" w:rsidP="00D93413">
            <w:pPr>
              <w:spacing w:after="0" w:line="240" w:lineRule="auto"/>
              <w:rPr>
                <w:rFonts w:eastAsia="Times New Roman" w:cstheme="minorHAnsi"/>
                <w:color w:val="000000"/>
                <w:sz w:val="24"/>
                <w:szCs w:val="24"/>
              </w:rPr>
            </w:pPr>
          </w:p>
        </w:tc>
      </w:tr>
      <w:tr w:rsidR="00D93413" w:rsidRPr="00D93413" w:rsidTr="001A15CE">
        <w:trPr>
          <w:trHeight w:val="576"/>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Using in-person and online HCC resources (the Writing Center, Upswing)</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Computer literacy activities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Group essays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         In-class group work (think / pair / share, </w:t>
            </w:r>
            <w:proofErr w:type="spellStart"/>
            <w:r w:rsidRPr="00D93413">
              <w:rPr>
                <w:rFonts w:eastAsia="Times New Roman" w:cstheme="minorHAnsi"/>
                <w:color w:val="000000"/>
                <w:sz w:val="24"/>
                <w:szCs w:val="24"/>
              </w:rPr>
              <w:t>etc</w:t>
            </w:r>
            <w:proofErr w:type="spellEnd"/>
            <w:r w:rsidRPr="00D93413">
              <w:rPr>
                <w:rFonts w:eastAsia="Times New Roman" w:cstheme="minorHAnsi"/>
                <w:color w:val="000000"/>
                <w:sz w:val="24"/>
                <w:szCs w:val="24"/>
              </w:rPr>
              <w:t>)</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Library orientations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576"/>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lastRenderedPageBreak/>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         Low-stakes daily writing (reflective writing, journal writing, </w:t>
            </w:r>
            <w:proofErr w:type="spellStart"/>
            <w:r w:rsidRPr="00D93413">
              <w:rPr>
                <w:rFonts w:eastAsia="Times New Roman" w:cstheme="minorHAnsi"/>
                <w:color w:val="000000"/>
                <w:sz w:val="24"/>
                <w:szCs w:val="24"/>
              </w:rPr>
              <w:t>etc</w:t>
            </w:r>
            <w:proofErr w:type="spellEnd"/>
            <w:r w:rsidRPr="00D93413">
              <w:rPr>
                <w:rFonts w:eastAsia="Times New Roman" w:cstheme="minorHAnsi"/>
                <w:color w:val="000000"/>
                <w:sz w:val="24"/>
                <w:szCs w:val="24"/>
              </w:rPr>
              <w:t>)</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17"/>
        </w:trPr>
        <w:tc>
          <w:tcPr>
            <w:tcW w:w="1700" w:type="dxa"/>
            <w:tcBorders>
              <w:top w:val="nil"/>
              <w:left w:val="single" w:sz="8" w:space="0" w:color="auto"/>
              <w:bottom w:val="single" w:sz="8" w:space="0" w:color="auto"/>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Activities that teach writing as a process</w:t>
            </w:r>
          </w:p>
        </w:tc>
        <w:tc>
          <w:tcPr>
            <w:tcW w:w="2340" w:type="dxa"/>
            <w:tcBorders>
              <w:top w:val="nil"/>
              <w:left w:val="nil"/>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63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WEEKS 4 – 6</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xml:space="preserve">DEVELOP IDEAS, SUPPORTING IDEAS, and ATTRIBUTION (CITATION) </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single" w:sz="8" w:space="0" w:color="auto"/>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Lessons on paragraph structure</w:t>
            </w:r>
          </w:p>
        </w:tc>
        <w:tc>
          <w:tcPr>
            <w:tcW w:w="2340" w:type="dxa"/>
            <w:tcBorders>
              <w:top w:val="single" w:sz="8" w:space="0" w:color="auto"/>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Identifying supporting details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Unpacking quotes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Using different structures for organization</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Practice in paraphrasing, quoting, summarizing</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576"/>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Developing appropriate, college-level thesis statements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Introducing a source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Showing Attribution for a source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1441"/>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(Attribution is stating who said something. Attribution is essential in all the media, including radio and television.  Journalists do it so that their readers or listeners can know who is speaking or where the information in the story comes from.)</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86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(One can use attribution for both spoken and written information, so that you attribute information gathered from interviews, speeches, reports, books, or even films.  </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Reporting verbs (verbs in a signal phrase)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17"/>
        </w:trPr>
        <w:tc>
          <w:tcPr>
            <w:tcW w:w="1700" w:type="dxa"/>
            <w:tcBorders>
              <w:top w:val="nil"/>
              <w:left w:val="single" w:sz="8" w:space="0" w:color="auto"/>
              <w:bottom w:val="single" w:sz="8" w:space="0" w:color="auto"/>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Research strategies</w:t>
            </w:r>
          </w:p>
        </w:tc>
        <w:tc>
          <w:tcPr>
            <w:tcW w:w="2340" w:type="dxa"/>
            <w:tcBorders>
              <w:top w:val="nil"/>
              <w:left w:val="nil"/>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63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WEEKS 7 - 9</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AUDIENCE, PURPOSE AND TONE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single" w:sz="8" w:space="0" w:color="auto"/>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Strategies to determine tone</w:t>
            </w:r>
          </w:p>
        </w:tc>
        <w:tc>
          <w:tcPr>
            <w:tcW w:w="2340" w:type="dxa"/>
            <w:tcBorders>
              <w:top w:val="single" w:sz="8" w:space="0" w:color="auto"/>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Audience exercises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Unpacking / previewing an assignment</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Identifying text patterns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Research strategies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17"/>
        </w:trPr>
        <w:tc>
          <w:tcPr>
            <w:tcW w:w="1700" w:type="dxa"/>
            <w:tcBorders>
              <w:top w:val="nil"/>
              <w:left w:val="single" w:sz="8" w:space="0" w:color="auto"/>
              <w:bottom w:val="single" w:sz="8" w:space="0" w:color="auto"/>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Deductive / inductive reading / reasoning</w:t>
            </w:r>
          </w:p>
        </w:tc>
        <w:tc>
          <w:tcPr>
            <w:tcW w:w="2340" w:type="dxa"/>
            <w:tcBorders>
              <w:top w:val="nil"/>
              <w:left w:val="nil"/>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63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WEEKS 10 -12</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CRITICAL READING AND WRITING SKILLS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single" w:sz="8" w:space="0" w:color="auto"/>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Annotating a text</w:t>
            </w:r>
          </w:p>
        </w:tc>
        <w:tc>
          <w:tcPr>
            <w:tcW w:w="2340" w:type="dxa"/>
            <w:tcBorders>
              <w:top w:val="single" w:sz="8" w:space="0" w:color="auto"/>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Capture reading strategies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Annotated bibliographies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Essay analysis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Distinguishing fact from opinion</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Journal response to texts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lastRenderedPageBreak/>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Inferential reading</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Creating a reverse outline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Reading galleries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Literature circles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Vocabulary in context</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Distinguishing tone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Rhetorical occasion / tone</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17"/>
        </w:trPr>
        <w:tc>
          <w:tcPr>
            <w:tcW w:w="1700" w:type="dxa"/>
            <w:tcBorders>
              <w:top w:val="nil"/>
              <w:left w:val="single" w:sz="8" w:space="0" w:color="auto"/>
              <w:bottom w:val="single" w:sz="8" w:space="0" w:color="auto"/>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Research strategies</w:t>
            </w:r>
          </w:p>
        </w:tc>
        <w:tc>
          <w:tcPr>
            <w:tcW w:w="2340" w:type="dxa"/>
            <w:tcBorders>
              <w:top w:val="nil"/>
              <w:left w:val="nil"/>
              <w:bottom w:val="single" w:sz="8" w:space="0" w:color="auto"/>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634"/>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WEEKS 13 - 15</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EDITING and FORMATTING PROCESSES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single" w:sz="8" w:space="0" w:color="auto"/>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single" w:sz="8" w:space="0" w:color="auto"/>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Research format and documentation</w:t>
            </w:r>
          </w:p>
        </w:tc>
        <w:tc>
          <w:tcPr>
            <w:tcW w:w="2340" w:type="dxa"/>
            <w:tcBorders>
              <w:top w:val="single" w:sz="8" w:space="0" w:color="auto"/>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Editing exercises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         </w:t>
            </w:r>
            <w:proofErr w:type="spellStart"/>
            <w:r w:rsidRPr="00D93413">
              <w:rPr>
                <w:rFonts w:eastAsia="Times New Roman" w:cstheme="minorHAnsi"/>
                <w:color w:val="000000"/>
                <w:sz w:val="24"/>
                <w:szCs w:val="24"/>
              </w:rPr>
              <w:t>NoRedInk</w:t>
            </w:r>
            <w:proofErr w:type="spellEnd"/>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Sample essays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Peer review</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Direct teach punctuation / grammar</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Purdue OWL or similar sites</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03"/>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Rhetorical grammar</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31"/>
        </w:trPr>
        <w:tc>
          <w:tcPr>
            <w:tcW w:w="1700" w:type="dxa"/>
            <w:tcBorders>
              <w:top w:val="nil"/>
              <w:left w:val="single" w:sz="8" w:space="0" w:color="auto"/>
              <w:bottom w:val="nil"/>
              <w:right w:val="nil"/>
            </w:tcBorders>
            <w:shd w:val="clear" w:color="auto" w:fill="auto"/>
            <w:vAlign w:val="bottom"/>
            <w:hideMark/>
          </w:tcPr>
          <w:p w:rsidR="00D93413" w:rsidRPr="00D93413" w:rsidRDefault="00D93413" w:rsidP="00D93413">
            <w:pPr>
              <w:spacing w:after="0" w:line="240" w:lineRule="auto"/>
              <w:rPr>
                <w:rFonts w:eastAsia="Times New Roman" w:cstheme="minorHAnsi"/>
                <w:b/>
                <w:bCs/>
                <w:color w:val="000000"/>
                <w:sz w:val="24"/>
                <w:szCs w:val="24"/>
              </w:rPr>
            </w:pPr>
            <w:r w:rsidRPr="00D93413">
              <w:rPr>
                <w:rFonts w:eastAsia="Times New Roman" w:cstheme="minorHAnsi"/>
                <w:b/>
                <w:bCs/>
                <w:color w:val="000000"/>
                <w:sz w:val="24"/>
                <w:szCs w:val="24"/>
              </w:rPr>
              <w:t> </w:t>
            </w:r>
          </w:p>
        </w:tc>
        <w:tc>
          <w:tcPr>
            <w:tcW w:w="5220" w:type="dxa"/>
            <w:tcBorders>
              <w:top w:val="nil"/>
              <w:left w:val="single" w:sz="8" w:space="0" w:color="auto"/>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McGuire Readability Approach / 5 rules for readability</w:t>
            </w:r>
          </w:p>
        </w:tc>
        <w:tc>
          <w:tcPr>
            <w:tcW w:w="2340" w:type="dxa"/>
            <w:tcBorders>
              <w:top w:val="nil"/>
              <w:left w:val="nil"/>
              <w:bottom w:val="nil"/>
              <w:right w:val="single" w:sz="8" w:space="0" w:color="auto"/>
            </w:tcBorders>
            <w:shd w:val="clear" w:color="auto" w:fill="auto"/>
            <w:vAlign w:val="bottom"/>
            <w:hideMark/>
          </w:tcPr>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tc>
      </w:tr>
      <w:tr w:rsidR="00D93413" w:rsidRPr="00D93413" w:rsidTr="001A15CE">
        <w:trPr>
          <w:trHeight w:val="331"/>
        </w:trPr>
        <w:tc>
          <w:tcPr>
            <w:tcW w:w="1700" w:type="dxa"/>
            <w:tcBorders>
              <w:top w:val="nil"/>
              <w:left w:val="single" w:sz="8" w:space="0" w:color="auto"/>
              <w:bottom w:val="single" w:sz="8" w:space="0" w:color="auto"/>
              <w:right w:val="nil"/>
            </w:tcBorders>
            <w:shd w:val="clear" w:color="auto" w:fill="auto"/>
            <w:vAlign w:val="bottom"/>
          </w:tcPr>
          <w:p w:rsidR="00D93413" w:rsidRPr="00D93413" w:rsidRDefault="00D93413" w:rsidP="00D93413">
            <w:pPr>
              <w:spacing w:after="0" w:line="240" w:lineRule="auto"/>
              <w:rPr>
                <w:rFonts w:eastAsia="Times New Roman" w:cstheme="minorHAnsi"/>
                <w:b/>
                <w:bCs/>
                <w:color w:val="000000"/>
                <w:sz w:val="24"/>
                <w:szCs w:val="24"/>
              </w:rPr>
            </w:pPr>
          </w:p>
        </w:tc>
        <w:tc>
          <w:tcPr>
            <w:tcW w:w="5220" w:type="dxa"/>
            <w:tcBorders>
              <w:top w:val="nil"/>
              <w:left w:val="single" w:sz="8" w:space="0" w:color="auto"/>
              <w:bottom w:val="single" w:sz="8" w:space="0" w:color="auto"/>
              <w:right w:val="single" w:sz="8" w:space="0" w:color="auto"/>
            </w:tcBorders>
            <w:shd w:val="clear" w:color="auto" w:fill="auto"/>
            <w:vAlign w:val="bottom"/>
          </w:tcPr>
          <w:p w:rsidR="00D93413" w:rsidRPr="00D93413" w:rsidRDefault="00D93413" w:rsidP="00D93413">
            <w:pPr>
              <w:spacing w:after="0" w:line="240" w:lineRule="auto"/>
              <w:rPr>
                <w:rFonts w:eastAsia="Times New Roman" w:cstheme="minorHAnsi"/>
                <w:color w:val="000000"/>
                <w:sz w:val="24"/>
                <w:szCs w:val="24"/>
              </w:rPr>
            </w:pPr>
          </w:p>
        </w:tc>
        <w:tc>
          <w:tcPr>
            <w:tcW w:w="2340" w:type="dxa"/>
            <w:tcBorders>
              <w:top w:val="nil"/>
              <w:left w:val="nil"/>
              <w:bottom w:val="single" w:sz="8" w:space="0" w:color="auto"/>
              <w:right w:val="single" w:sz="8" w:space="0" w:color="auto"/>
            </w:tcBorders>
            <w:shd w:val="clear" w:color="auto" w:fill="auto"/>
            <w:vAlign w:val="bottom"/>
          </w:tcPr>
          <w:p w:rsidR="00D93413" w:rsidRPr="00D93413" w:rsidRDefault="00D93413" w:rsidP="00D93413">
            <w:pPr>
              <w:spacing w:after="0" w:line="240" w:lineRule="auto"/>
              <w:rPr>
                <w:rFonts w:eastAsia="Times New Roman" w:cstheme="minorHAnsi"/>
                <w:color w:val="000000"/>
                <w:sz w:val="24"/>
                <w:szCs w:val="24"/>
              </w:rPr>
            </w:pPr>
          </w:p>
        </w:tc>
      </w:tr>
    </w:tbl>
    <w:p w:rsidR="00D93413" w:rsidRPr="00D93413" w:rsidRDefault="00D93413" w:rsidP="00D93413">
      <w:pPr>
        <w:spacing w:after="0" w:line="240" w:lineRule="auto"/>
        <w:rPr>
          <w:rFonts w:eastAsia="Calibri" w:cstheme="minorHAnsi"/>
          <w:b/>
          <w:sz w:val="24"/>
          <w:szCs w:val="24"/>
        </w:rPr>
      </w:pPr>
    </w:p>
    <w:p w:rsidR="00D93413" w:rsidRPr="00D93413" w:rsidRDefault="00D93413" w:rsidP="00D93413">
      <w:pPr>
        <w:spacing w:after="0" w:line="240" w:lineRule="auto"/>
        <w:rPr>
          <w:rFonts w:eastAsia="Calibri" w:cstheme="minorHAnsi"/>
          <w:b/>
          <w:sz w:val="24"/>
          <w:szCs w:val="24"/>
        </w:rPr>
      </w:pPr>
    </w:p>
    <w:p w:rsidR="00D93413" w:rsidRPr="00D93413" w:rsidRDefault="00D93413" w:rsidP="00D93413">
      <w:pPr>
        <w:tabs>
          <w:tab w:val="left" w:pos="2460"/>
        </w:tabs>
        <w:rPr>
          <w:rFonts w:eastAsia="Times New Roman" w:cstheme="minorHAnsi"/>
          <w:sz w:val="24"/>
          <w:szCs w:val="24"/>
        </w:rPr>
      </w:pPr>
      <w:r w:rsidRPr="00D93413">
        <w:rPr>
          <w:rFonts w:cstheme="minorHAnsi"/>
          <w:b/>
          <w:sz w:val="24"/>
          <w:szCs w:val="24"/>
          <w:u w:val="single"/>
        </w:rPr>
        <w:t>Instructor Requirements</w:t>
      </w:r>
      <w:r w:rsidRPr="00D93413">
        <w:rPr>
          <w:rFonts w:cstheme="minorHAnsi"/>
          <w:b/>
          <w:sz w:val="24"/>
          <w:szCs w:val="24"/>
        </w:rPr>
        <w:t xml:space="preserve">: </w:t>
      </w:r>
      <w:r w:rsidRPr="00D93413">
        <w:rPr>
          <w:rFonts w:eastAsia="Times New Roman" w:cstheme="minorHAnsi"/>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D93413" w:rsidRPr="00D93413" w:rsidRDefault="00D93413" w:rsidP="00D93413">
      <w:pPr>
        <w:spacing w:after="0" w:line="240" w:lineRule="auto"/>
        <w:rPr>
          <w:rFonts w:eastAsia="Times New Roman" w:cstheme="minorHAnsi"/>
          <w:b/>
          <w:sz w:val="24"/>
          <w:szCs w:val="24"/>
          <w:u w:val="single"/>
        </w:rPr>
      </w:pPr>
      <w:r w:rsidRPr="00D93413">
        <w:rPr>
          <w:rFonts w:eastAsia="Times New Roman" w:cstheme="minorHAnsi"/>
          <w:b/>
          <w:sz w:val="24"/>
          <w:szCs w:val="24"/>
          <w:u w:val="single"/>
        </w:rPr>
        <w:t xml:space="preserve">Assignments:  </w:t>
      </w:r>
      <w:r w:rsidRPr="00D93413">
        <w:rPr>
          <w:rFonts w:eastAsia="Times New Roman" w:cstheme="minorHAnsi"/>
          <w:sz w:val="24"/>
          <w:szCs w:val="24"/>
        </w:rPr>
        <w:t xml:space="preserve">All assignments in this class will be reflective of the goals and assignments in your ENGL 1301 class.  You may have a variety of assignments that enhance the practice of efficient reading strategies as well as advancing your understanding of the academic writing process.  That means that your class work may take a variety of forms and some or all of the skills on the course calendar will be included. In any event you will be graded for whatever work is required of you. That includes bringing requested assignments to class, such as outlines, rough drafts, or reflections that you are preparing for our English 1301. You may also have stand-alone assignments that the professor deems necessary for your improvement of a particular skill. </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If you have special circumstances regarding your participation in any aspect of this class, please discuss them with me instead of trying to work them out by yourself.</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u w:val="single"/>
        </w:rPr>
        <w:lastRenderedPageBreak/>
        <w:t>Attendance and Class Participation:</w:t>
      </w:r>
      <w:r w:rsidRPr="00D93413">
        <w:rPr>
          <w:rFonts w:eastAsia="Times New Roman" w:cstheme="minorHAnsi"/>
          <w:b/>
          <w:sz w:val="24"/>
          <w:szCs w:val="24"/>
        </w:rPr>
        <w:t xml:space="preserve"> </w:t>
      </w:r>
      <w:r w:rsidRPr="00D93413">
        <w:rPr>
          <w:rFonts w:eastAsia="Times New Roman" w:cstheme="minorHAnsi"/>
          <w:sz w:val="24"/>
          <w:szCs w:val="24"/>
        </w:rPr>
        <w:t xml:space="preserve"> You cannot expect to do well in this class if you do not attend regularly. My expectation is that you will be here every day. If you have scheduled this class at a time that conflicts with work or any other obligation, my recommendation is that you find a class that is not in conflict with your other obligations. Students who miss more than 12.5% of this class (3 class periods) will be eligible to be dropped from class. If you are dropped from this class, you will also be required to be dropped from your English 1301 class. You may not have one without the other.</w:t>
      </w:r>
      <w:r w:rsidRPr="00D93413">
        <w:rPr>
          <w:rFonts w:eastAsia="Times New Roman" w:cstheme="minorHAnsi"/>
          <w:sz w:val="24"/>
          <w:szCs w:val="24"/>
        </w:rPr>
        <w:br/>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u w:val="single"/>
        </w:rPr>
        <w:t>Classroom Behavior:</w:t>
      </w:r>
      <w:r w:rsidRPr="00D93413">
        <w:rPr>
          <w:rFonts w:eastAsia="Times New Roman" w:cstheme="minorHAnsi"/>
          <w:b/>
          <w:sz w:val="24"/>
          <w:szCs w:val="24"/>
        </w:rPr>
        <w:t xml:space="preserve">  </w:t>
      </w:r>
      <w:r w:rsidRPr="00D93413">
        <w:rPr>
          <w:rFonts w:eastAsia="Times New Roman" w:cstheme="minorHAnsi"/>
          <w:sz w:val="24"/>
          <w:szCs w:val="24"/>
        </w:rPr>
        <w:t>It is the responsibility of the instructor and each member of the classroom to maintain a learning environment appropriate to serious study. Please observe the following rules in order to preserve a learning atmosphere.</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 xml:space="preserve">Please observe civility and professionalism as a daily part of this class and between all members of this class. </w:t>
      </w:r>
      <w:proofErr w:type="gramStart"/>
      <w:r w:rsidRPr="00D93413">
        <w:rPr>
          <w:rFonts w:eastAsia="Times New Roman" w:cstheme="minorHAnsi"/>
          <w:b/>
          <w:sz w:val="24"/>
          <w:szCs w:val="24"/>
        </w:rPr>
        <w:t>Anything less than that disrupts the academic process of the learning experience.</w:t>
      </w:r>
      <w:proofErr w:type="gramEnd"/>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There will be no opportunities for extra credit. Please do not ask for it.</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Silence your cell phone.  Please do not repeatedly disrupt the class with ringing phones.</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rPr>
        <w:t>Do not answer your telephone in class or make a call in the classroom. If you want to talk on the phone, step outside.</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Persistent texting is unacceptable as a class time activity. If you wish to talk on the phone or text message someone, please leave the classroom.  At the end of the semester this behavior will be considered as an influence on class participation.</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 xml:space="preserve">Please do not use headphones while in class. Even if you are not listening to music please remove your headphones. To leave them in is unnecessary and impolite. </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 xml:space="preserve">Please do not participate in any behavior that disrupts the classroom atmosphere of serious study, including excessive talking or sleeping at your desk. </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rPr>
        <w:t>Please restrict the use of your laptop in the classroom to the back row or the side rows.</w:t>
      </w:r>
      <w:r w:rsidRPr="00D93413">
        <w:rPr>
          <w:rFonts w:eastAsia="Times New Roman" w:cstheme="minorHAnsi"/>
          <w:sz w:val="24"/>
          <w:szCs w:val="24"/>
        </w:rPr>
        <w:t xml:space="preserve">  </w:t>
      </w:r>
      <w:r w:rsidRPr="00D93413">
        <w:rPr>
          <w:rFonts w:eastAsia="Times New Roman" w:cstheme="minorHAnsi"/>
          <w:b/>
          <w:sz w:val="24"/>
          <w:szCs w:val="24"/>
        </w:rPr>
        <w:t>Use of a tablet is acceptable in any seat.</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 xml:space="preserve">Please address me and your other professors with their proper titles unless otherwise requested by your professor. Proper titles will be Dr. (last name), Professor (last name), Mr. (last name), or Ms. (last name). </w:t>
      </w: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lastRenderedPageBreak/>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 xml:space="preserve">Please do not send e-mails to me with pictures of you or your loved one’s injury, illness or accident. </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It is unacceptable to leave class early every day or come to class late every day for your job. This is a face-to-face class, so you must attend all required hours.</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rPr>
        <w:t>Please do not ask to leave the room during an examination. If you must leave the room during an exam you will be asked to repeat the exam at another time.</w:t>
      </w:r>
      <w:r w:rsidRPr="00D93413">
        <w:rPr>
          <w:rFonts w:eastAsia="Times New Roman" w:cstheme="minorHAnsi"/>
          <w:sz w:val="24"/>
          <w:szCs w:val="24"/>
        </w:rPr>
        <w:t xml:space="preserve"> </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Cell phones must be silenced and put away during examinations.</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sz w:val="24"/>
          <w:szCs w:val="24"/>
        </w:rPr>
        <w:t>Any cheating or attempts at cheating on tests or assignments may result in your dismissal from the class as well as a grade of F.</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b/>
          <w:color w:val="000000"/>
          <w:sz w:val="24"/>
          <w:szCs w:val="24"/>
        </w:rPr>
      </w:pPr>
      <w:r w:rsidRPr="00D93413">
        <w:rPr>
          <w:rFonts w:eastAsia="Times New Roman" w:cstheme="minorHAnsi"/>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D93413" w:rsidRPr="00D93413" w:rsidRDefault="00D93413" w:rsidP="00D93413">
      <w:pPr>
        <w:spacing w:after="0" w:line="240" w:lineRule="auto"/>
        <w:rPr>
          <w:rFonts w:eastAsia="Times New Roman" w:cstheme="minorHAnsi"/>
          <w:b/>
          <w:color w:val="000000"/>
          <w:sz w:val="24"/>
          <w:szCs w:val="24"/>
        </w:rPr>
      </w:pPr>
    </w:p>
    <w:p w:rsidR="00D93413" w:rsidRPr="00D93413" w:rsidRDefault="00D93413" w:rsidP="00D93413">
      <w:pPr>
        <w:spacing w:after="0" w:line="240" w:lineRule="auto"/>
        <w:rPr>
          <w:rFonts w:eastAsia="Times New Roman" w:cstheme="minorHAnsi"/>
          <w:b/>
          <w:sz w:val="24"/>
          <w:szCs w:val="24"/>
        </w:rPr>
      </w:pPr>
      <w:r w:rsidRPr="00D93413">
        <w:rPr>
          <w:rFonts w:eastAsia="Times New Roman" w:cstheme="minorHAnsi"/>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D93413" w:rsidRPr="00D93413" w:rsidRDefault="00D93413" w:rsidP="00D93413">
      <w:pPr>
        <w:spacing w:after="0" w:line="240" w:lineRule="auto"/>
        <w:rPr>
          <w:rFonts w:eastAsia="Times New Roman" w:cstheme="minorHAnsi"/>
          <w:b/>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rPr>
        <w:t>College policy concerning children:</w:t>
      </w:r>
      <w:r w:rsidRPr="00D93413">
        <w:rPr>
          <w:rFonts w:eastAsia="Times New Roman" w:cstheme="minorHAnsi"/>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p>
    <w:p w:rsidR="00D93413" w:rsidRPr="00D93413" w:rsidRDefault="00D93413" w:rsidP="00D93413">
      <w:pPr>
        <w:spacing w:after="0" w:line="240" w:lineRule="auto"/>
        <w:rPr>
          <w:rFonts w:cstheme="minorHAnsi"/>
          <w:b/>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sz w:val="24"/>
          <w:szCs w:val="24"/>
          <w:u w:val="single"/>
        </w:rPr>
        <w:lastRenderedPageBreak/>
        <w:t>Useful Web Resources</w:t>
      </w:r>
      <w:r w:rsidRPr="00D93413">
        <w:rPr>
          <w:rFonts w:eastAsia="Times New Roman" w:cstheme="minorHAnsi"/>
          <w:b/>
          <w:sz w:val="24"/>
          <w:szCs w:val="24"/>
        </w:rPr>
        <w:t>:</w:t>
      </w:r>
    </w:p>
    <w:p w:rsidR="00D93413" w:rsidRPr="00D93413" w:rsidRDefault="00D93413" w:rsidP="00D93413">
      <w:pPr>
        <w:numPr>
          <w:ilvl w:val="0"/>
          <w:numId w:val="9"/>
        </w:numPr>
        <w:spacing w:after="160" w:line="259" w:lineRule="auto"/>
        <w:rPr>
          <w:rFonts w:eastAsia="Times New Roman" w:cstheme="minorHAnsi"/>
          <w:b/>
          <w:bCs/>
          <w:sz w:val="24"/>
          <w:szCs w:val="24"/>
        </w:rPr>
      </w:pPr>
      <w:r w:rsidRPr="00D93413">
        <w:rPr>
          <w:rFonts w:eastAsia="Times New Roman" w:cstheme="minorHAnsi"/>
          <w:b/>
          <w:sz w:val="24"/>
          <w:szCs w:val="24"/>
        </w:rPr>
        <w:t xml:space="preserve">Online Tutoring &amp; Support:  </w:t>
      </w:r>
      <w:hyperlink r:id="rId8" w:history="1">
        <w:r w:rsidRPr="00D93413">
          <w:rPr>
            <w:rFonts w:eastAsia="Times New Roman" w:cstheme="minorHAnsi"/>
            <w:b/>
            <w:color w:val="0000FF"/>
            <w:sz w:val="24"/>
            <w:szCs w:val="24"/>
            <w:u w:val="single"/>
          </w:rPr>
          <w:t>https://hccs.upswing.io</w:t>
        </w:r>
      </w:hyperlink>
    </w:p>
    <w:p w:rsidR="00D93413" w:rsidRPr="00D93413" w:rsidRDefault="00D93413" w:rsidP="00D93413">
      <w:pPr>
        <w:numPr>
          <w:ilvl w:val="0"/>
          <w:numId w:val="9"/>
        </w:numPr>
        <w:spacing w:after="160" w:line="259" w:lineRule="auto"/>
        <w:rPr>
          <w:rFonts w:eastAsia="Times New Roman" w:cstheme="minorHAnsi"/>
          <w:b/>
          <w:bCs/>
          <w:sz w:val="24"/>
          <w:szCs w:val="24"/>
        </w:rPr>
      </w:pPr>
      <w:r w:rsidRPr="00D93413">
        <w:rPr>
          <w:rFonts w:eastAsia="Times New Roman" w:cstheme="minorHAnsi"/>
          <w:b/>
          <w:sz w:val="24"/>
          <w:szCs w:val="24"/>
        </w:rPr>
        <w:t xml:space="preserve">Purdue OWL: </w:t>
      </w:r>
      <w:hyperlink r:id="rId9" w:history="1">
        <w:r w:rsidRPr="00D93413">
          <w:rPr>
            <w:rFonts w:eastAsia="Times New Roman" w:cstheme="minorHAnsi"/>
            <w:b/>
            <w:color w:val="0000FF"/>
            <w:sz w:val="24"/>
            <w:szCs w:val="24"/>
            <w:u w:val="single"/>
          </w:rPr>
          <w:t>http://owl.english.purdue.edu/owl/resource/747/01/</w:t>
        </w:r>
      </w:hyperlink>
    </w:p>
    <w:p w:rsidR="00D93413" w:rsidRPr="00D93413" w:rsidRDefault="00D93413" w:rsidP="00D93413">
      <w:pPr>
        <w:numPr>
          <w:ilvl w:val="0"/>
          <w:numId w:val="9"/>
        </w:numPr>
        <w:spacing w:after="160" w:line="259" w:lineRule="auto"/>
        <w:rPr>
          <w:rFonts w:eastAsia="Times New Roman" w:cstheme="minorHAnsi"/>
          <w:b/>
          <w:bCs/>
          <w:sz w:val="24"/>
          <w:szCs w:val="24"/>
        </w:rPr>
      </w:pPr>
      <w:r w:rsidRPr="00D93413">
        <w:rPr>
          <w:rFonts w:eastAsia="Times New Roman" w:cstheme="minorHAnsi"/>
          <w:b/>
          <w:bCs/>
          <w:sz w:val="24"/>
          <w:szCs w:val="24"/>
        </w:rPr>
        <w:t xml:space="preserve">Grammar PP:  </w:t>
      </w:r>
      <w:hyperlink r:id="rId10" w:history="1">
        <w:r w:rsidRPr="00D93413">
          <w:rPr>
            <w:rFonts w:eastAsia="Times New Roman" w:cstheme="minorHAnsi"/>
            <w:b/>
            <w:bCs/>
            <w:color w:val="0000FF"/>
            <w:sz w:val="24"/>
            <w:szCs w:val="24"/>
            <w:u w:val="single"/>
          </w:rPr>
          <w:t>http://grammar.ccc.commnet.edu/grammar/powerpoint.htm</w:t>
        </w:r>
      </w:hyperlink>
    </w:p>
    <w:p w:rsidR="00D93413" w:rsidRPr="00D93413" w:rsidRDefault="00D93413" w:rsidP="00D93413">
      <w:pPr>
        <w:numPr>
          <w:ilvl w:val="0"/>
          <w:numId w:val="9"/>
        </w:numPr>
        <w:spacing w:after="160" w:line="259" w:lineRule="auto"/>
        <w:rPr>
          <w:rFonts w:eastAsia="Times New Roman" w:cstheme="minorHAnsi"/>
          <w:b/>
          <w:bCs/>
          <w:sz w:val="24"/>
          <w:szCs w:val="24"/>
        </w:rPr>
      </w:pPr>
      <w:proofErr w:type="spellStart"/>
      <w:r w:rsidRPr="00D93413">
        <w:rPr>
          <w:rFonts w:eastAsia="Times New Roman" w:cstheme="minorHAnsi"/>
          <w:b/>
          <w:bCs/>
          <w:sz w:val="24"/>
          <w:szCs w:val="24"/>
        </w:rPr>
        <w:t>Turnitin</w:t>
      </w:r>
      <w:proofErr w:type="spellEnd"/>
      <w:r w:rsidRPr="00D93413">
        <w:rPr>
          <w:rFonts w:eastAsia="Times New Roman" w:cstheme="minorHAnsi"/>
          <w:b/>
          <w:bCs/>
          <w:sz w:val="24"/>
          <w:szCs w:val="24"/>
        </w:rPr>
        <w:t xml:space="preserve">:  </w:t>
      </w:r>
      <w:hyperlink r:id="rId11" w:history="1">
        <w:r w:rsidRPr="00D93413">
          <w:rPr>
            <w:rFonts w:eastAsia="Times New Roman" w:cstheme="minorHAnsi"/>
            <w:b/>
            <w:bCs/>
            <w:color w:val="0000FF"/>
            <w:sz w:val="24"/>
            <w:szCs w:val="24"/>
            <w:u w:val="single"/>
          </w:rPr>
          <w:t>http://www.turnitin.com/en_us/training/student-training/student-quickstart-guide</w:t>
        </w:r>
      </w:hyperlink>
    </w:p>
    <w:p w:rsidR="00D93413" w:rsidRPr="00D93413" w:rsidRDefault="00D93413" w:rsidP="00D93413">
      <w:pPr>
        <w:numPr>
          <w:ilvl w:val="0"/>
          <w:numId w:val="9"/>
        </w:numPr>
        <w:spacing w:after="160" w:line="259" w:lineRule="auto"/>
        <w:rPr>
          <w:rFonts w:eastAsia="Times New Roman" w:cstheme="minorHAnsi"/>
          <w:b/>
          <w:bCs/>
          <w:sz w:val="24"/>
          <w:szCs w:val="24"/>
        </w:rPr>
      </w:pPr>
      <w:r w:rsidRPr="00D93413">
        <w:rPr>
          <w:rFonts w:eastAsia="Times New Roman" w:cstheme="minorHAnsi"/>
          <w:b/>
          <w:sz w:val="24"/>
          <w:szCs w:val="24"/>
        </w:rPr>
        <w:t xml:space="preserve">Eagle Online (CANVAS):  </w:t>
      </w:r>
      <w:hyperlink r:id="rId12" w:history="1">
        <w:r w:rsidRPr="00D93413">
          <w:rPr>
            <w:rFonts w:eastAsia="Times New Roman" w:cstheme="minorHAnsi"/>
            <w:b/>
            <w:color w:val="0000FF"/>
            <w:sz w:val="24"/>
            <w:szCs w:val="24"/>
            <w:u w:val="single"/>
          </w:rPr>
          <w:t>https://eagleonline.hccs.edu</w:t>
        </w:r>
      </w:hyperlink>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u w:val="single"/>
        </w:rPr>
        <w:t>HCC Grading Scale</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A = 100 – 90:……………………………………4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B = 89 – 80: …………………………………….3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C = 79 – 70: …………………………………….2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69 and below = F or IP…………………….0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IP (In Progress) ………………………….……0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I (Incomplete).....................................0 points per semester hour</w:t>
      </w:r>
    </w:p>
    <w:p w:rsidR="00D93413" w:rsidRPr="00D93413" w:rsidRDefault="00D93413" w:rsidP="00D93413">
      <w:pPr>
        <w:spacing w:after="0" w:line="240" w:lineRule="auto"/>
        <w:rPr>
          <w:rFonts w:eastAsia="Times New Roman" w:cstheme="minorHAnsi"/>
          <w:sz w:val="24"/>
          <w:szCs w:val="24"/>
        </w:rPr>
      </w:pPr>
      <w:proofErr w:type="gramStart"/>
      <w:r w:rsidRPr="00D93413">
        <w:rPr>
          <w:rFonts w:eastAsia="Times New Roman" w:cstheme="minorHAnsi"/>
          <w:sz w:val="24"/>
          <w:szCs w:val="24"/>
        </w:rPr>
        <w:t>W(</w:t>
      </w:r>
      <w:proofErr w:type="gramEnd"/>
      <w:r w:rsidRPr="00D93413">
        <w:rPr>
          <w:rFonts w:eastAsia="Times New Roman" w:cstheme="minorHAnsi"/>
          <w:sz w:val="24"/>
          <w:szCs w:val="24"/>
        </w:rPr>
        <w:t>Withdrawn)………………………….……..0 points per semester hour</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u w:val="single"/>
        </w:rPr>
        <w:t>Grading Criteria</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will have ample opportunity to discuss your concerns with your instructor.  Your instructor will assist you in finding resources on campus that will improve your performance.</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 </w:t>
      </w:r>
    </w:p>
    <w:p w:rsidR="00D93413" w:rsidRPr="00D93413" w:rsidRDefault="00D93413" w:rsidP="00D93413">
      <w:pPr>
        <w:spacing w:after="0" w:line="240" w:lineRule="auto"/>
        <w:rPr>
          <w:rFonts w:eastAsia="Times New Roman" w:cstheme="minorHAnsi"/>
          <w:sz w:val="24"/>
          <w:szCs w:val="24"/>
          <w:u w:val="single"/>
        </w:rPr>
      </w:pPr>
      <w:r w:rsidRPr="00D93413">
        <w:rPr>
          <w:rFonts w:eastAsia="Times New Roman" w:cstheme="minorHAnsi"/>
          <w:b/>
          <w:bCs/>
          <w:sz w:val="24"/>
          <w:szCs w:val="24"/>
          <w:u w:val="single"/>
        </w:rPr>
        <w:t>Grading Percentages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Journals/reflections</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Paragraph/summary/outline writing</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Short in-class writing assessments</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Reading Assessments </w:t>
      </w:r>
    </w:p>
    <w:p w:rsidR="00D93413" w:rsidRPr="00D93413" w:rsidRDefault="00D93413" w:rsidP="00D93413">
      <w:pPr>
        <w:spacing w:after="0" w:line="240" w:lineRule="auto"/>
        <w:rPr>
          <w:rFonts w:eastAsia="Times New Roman" w:cstheme="minorHAnsi"/>
          <w:b/>
          <w:bCs/>
          <w:sz w:val="24"/>
          <w:szCs w:val="24"/>
        </w:rPr>
      </w:pPr>
      <w:r w:rsidRPr="00D93413">
        <w:rPr>
          <w:rFonts w:eastAsia="Times New Roman" w:cstheme="minorHAnsi"/>
          <w:b/>
          <w:bCs/>
          <w:sz w:val="24"/>
          <w:szCs w:val="24"/>
        </w:rPr>
        <w:t>Group activities..............................................................60%</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Attendance/Class participation………………………………..….20%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Final Assessment ...........................................................20%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b/>
          <w:bCs/>
          <w:sz w:val="24"/>
          <w:szCs w:val="24"/>
        </w:rPr>
        <w:t>Total                                                                                          100%</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Calibri" w:cstheme="minorHAnsi"/>
          <w:b/>
          <w:sz w:val="24"/>
          <w:szCs w:val="24"/>
          <w:u w:val="single"/>
        </w:rPr>
      </w:pPr>
    </w:p>
    <w:p w:rsidR="00D93413" w:rsidRPr="00D93413" w:rsidRDefault="00D93413" w:rsidP="00D93413">
      <w:pPr>
        <w:spacing w:after="0" w:line="240" w:lineRule="auto"/>
        <w:rPr>
          <w:rFonts w:eastAsia="Calibri" w:cstheme="minorHAnsi"/>
          <w:b/>
          <w:sz w:val="24"/>
          <w:szCs w:val="24"/>
          <w:u w:val="single"/>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b/>
          <w:sz w:val="24"/>
          <w:szCs w:val="24"/>
          <w:u w:val="single"/>
        </w:rPr>
        <w:lastRenderedPageBreak/>
        <w:t>Student Support Services</w:t>
      </w:r>
      <w:r w:rsidRPr="00D93413">
        <w:rPr>
          <w:rFonts w:eastAsia="Calibri" w:cstheme="minorHAnsi"/>
          <w:b/>
          <w:sz w:val="24"/>
          <w:szCs w:val="24"/>
        </w:rPr>
        <w:t>:</w:t>
      </w:r>
    </w:p>
    <w:p w:rsidR="00D93413" w:rsidRPr="00D93413" w:rsidRDefault="00D93413" w:rsidP="00D93413">
      <w:pPr>
        <w:spacing w:after="0" w:line="240" w:lineRule="auto"/>
        <w:rPr>
          <w:rFonts w:eastAsia="Times New Roman" w:cstheme="minorHAnsi"/>
          <w:bCs/>
          <w:sz w:val="24"/>
          <w:szCs w:val="24"/>
          <w:u w:val="single"/>
        </w:rPr>
      </w:pPr>
      <w:r w:rsidRPr="00D93413">
        <w:rPr>
          <w:rFonts w:eastAsia="Calibri" w:cstheme="minorHAnsi"/>
          <w:sz w:val="24"/>
          <w:szCs w:val="24"/>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D93413" w:rsidRPr="00D93413" w:rsidRDefault="00D93413" w:rsidP="00D93413">
      <w:pPr>
        <w:spacing w:after="0" w:line="240" w:lineRule="auto"/>
        <w:rPr>
          <w:rFonts w:eastAsia="Times New Roman" w:cstheme="minorHAnsi"/>
          <w:bCs/>
          <w:i/>
          <w:color w:val="191919"/>
          <w:sz w:val="24"/>
          <w:szCs w:val="24"/>
          <w:u w:val="single"/>
        </w:rPr>
      </w:pPr>
    </w:p>
    <w:p w:rsidR="00D93413" w:rsidRPr="00D93413" w:rsidRDefault="00D93413" w:rsidP="00D93413">
      <w:pPr>
        <w:spacing w:after="0" w:line="240" w:lineRule="auto"/>
        <w:rPr>
          <w:rFonts w:eastAsia="Times New Roman" w:cstheme="minorHAnsi"/>
          <w:color w:val="000000"/>
          <w:sz w:val="24"/>
          <w:szCs w:val="24"/>
          <w:u w:val="single"/>
        </w:rPr>
      </w:pPr>
      <w:r w:rsidRPr="00D93413">
        <w:rPr>
          <w:rFonts w:eastAsia="Times New Roman" w:cstheme="minorHAnsi"/>
          <w:bCs/>
          <w:i/>
          <w:color w:val="191919"/>
          <w:sz w:val="24"/>
          <w:szCs w:val="24"/>
          <w:u w:val="single"/>
        </w:rPr>
        <w:t>Ability Services</w:t>
      </w:r>
      <w:r w:rsidRPr="00D93413">
        <w:rPr>
          <w:rFonts w:eastAsia="Times New Roman" w:cstheme="minorHAnsi"/>
          <w:bCs/>
          <w:color w:val="191919"/>
          <w:sz w:val="24"/>
          <w:szCs w:val="24"/>
          <w:u w:val="single"/>
        </w:rPr>
        <w:t>:</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D93413" w:rsidRPr="00D93413" w:rsidRDefault="00D93413" w:rsidP="00D93413">
      <w:pPr>
        <w:spacing w:after="0" w:line="240" w:lineRule="auto"/>
        <w:rPr>
          <w:rFonts w:eastAsia="Times New Roman" w:cstheme="minorHAnsi"/>
          <w:bCs/>
          <w:i/>
          <w:color w:val="191919"/>
          <w:sz w:val="24"/>
          <w:szCs w:val="24"/>
          <w:u w:val="single"/>
        </w:rPr>
      </w:pP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Cs/>
          <w:i/>
          <w:color w:val="191919"/>
          <w:sz w:val="24"/>
          <w:szCs w:val="24"/>
          <w:u w:val="single"/>
        </w:rPr>
        <w:t>Ability Services Contact Information</w:t>
      </w:r>
      <w:r w:rsidRPr="00D93413">
        <w:rPr>
          <w:rFonts w:eastAsia="Times New Roman" w:cstheme="minorHAnsi"/>
          <w:bCs/>
          <w:color w:val="191919"/>
          <w:sz w:val="24"/>
          <w:szCs w:val="24"/>
          <w:u w:val="single"/>
        </w:rPr>
        <w:t>:</w:t>
      </w:r>
      <w:r w:rsidRPr="00D93413">
        <w:rPr>
          <w:rFonts w:eastAsia="Times New Roman" w:cstheme="minorHAnsi"/>
          <w:b/>
          <w:bCs/>
          <w:color w:val="191919"/>
          <w:sz w:val="24"/>
          <w:szCs w:val="24"/>
        </w:rPr>
        <w:t> </w:t>
      </w:r>
      <w:r w:rsidRPr="00D93413">
        <w:rPr>
          <w:rFonts w:eastAsia="Times New Roman" w:cstheme="minorHAnsi"/>
          <w:b/>
          <w:bCs/>
          <w:color w:val="191919"/>
          <w:sz w:val="24"/>
          <w:szCs w:val="24"/>
        </w:rPr>
        <w:br/>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Central College</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713.718.6164</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Coleman College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713-718-7376</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Northeast College</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713-718-8322</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Northwest College</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713-718-5422</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713-718-5408</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Southeast College</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713-718-7144</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Southwest College</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713-718-5910</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Adaptive Equipment/Assistive Technology</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713-718-6629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191919"/>
          <w:sz w:val="24"/>
          <w:szCs w:val="24"/>
        </w:rPr>
        <w:t>713-718-5604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b/>
          <w:bCs/>
          <w:color w:val="191919"/>
          <w:sz w:val="24"/>
          <w:szCs w:val="24"/>
        </w:rPr>
        <w:t>Interpreting and CART services</w:t>
      </w:r>
    </w:p>
    <w:p w:rsidR="00D93413" w:rsidRPr="00D93413" w:rsidRDefault="00D93413" w:rsidP="00D93413">
      <w:pPr>
        <w:spacing w:after="0" w:line="240" w:lineRule="auto"/>
        <w:rPr>
          <w:rFonts w:eastAsia="Times New Roman" w:cstheme="minorHAnsi"/>
          <w:color w:val="191919"/>
          <w:sz w:val="24"/>
          <w:szCs w:val="24"/>
        </w:rPr>
      </w:pPr>
      <w:r w:rsidRPr="00D93413">
        <w:rPr>
          <w:rFonts w:eastAsia="Times New Roman" w:cstheme="minorHAnsi"/>
          <w:color w:val="191919"/>
          <w:sz w:val="24"/>
          <w:szCs w:val="24"/>
        </w:rPr>
        <w:t>713-718-6333</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i/>
          <w:color w:val="191919"/>
          <w:sz w:val="24"/>
          <w:szCs w:val="24"/>
          <w:u w:val="single"/>
        </w:rPr>
        <w:lastRenderedPageBreak/>
        <w:t>Accommodations due to a Qualified Disability</w:t>
      </w:r>
      <w:r w:rsidRPr="00D93413">
        <w:rPr>
          <w:rFonts w:eastAsia="Times New Roman" w:cstheme="minorHAnsi"/>
          <w:color w:val="191919"/>
          <w:sz w:val="24"/>
          <w:szCs w:val="24"/>
        </w:rPr>
        <w:t xml:space="preserve">: </w:t>
      </w:r>
      <w:r w:rsidRPr="00D93413">
        <w:rPr>
          <w:rFonts w:eastAsia="Calibri" w:cstheme="minorHAnsi"/>
          <w:color w:val="000000"/>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3" w:history="1">
        <w:r w:rsidRPr="00D93413">
          <w:rPr>
            <w:rFonts w:eastAsia="Calibri" w:cstheme="minorHAnsi"/>
            <w:color w:val="0000FF"/>
            <w:sz w:val="24"/>
            <w:szCs w:val="24"/>
            <w:u w:val="single"/>
          </w:rPr>
          <w:t>http://www.hccs.edu/support-services/disability-services/</w:t>
        </w:r>
      </w:hyperlink>
      <w:r w:rsidRPr="00D93413">
        <w:rPr>
          <w:rFonts w:eastAsia="Calibri" w:cstheme="minorHAnsi"/>
          <w:sz w:val="24"/>
          <w:szCs w:val="24"/>
        </w:rPr>
        <w:t xml:space="preserve"> </w:t>
      </w:r>
    </w:p>
    <w:p w:rsidR="00D93413" w:rsidRPr="00D93413" w:rsidRDefault="00D93413" w:rsidP="00D93413">
      <w:pPr>
        <w:spacing w:after="0" w:line="240" w:lineRule="auto"/>
        <w:rPr>
          <w:rFonts w:eastAsia="Calibri" w:cstheme="minorHAnsi"/>
          <w:i/>
          <w:sz w:val="24"/>
          <w:szCs w:val="24"/>
          <w:u w:val="single"/>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t>Libraries</w:t>
      </w:r>
      <w:r w:rsidRPr="00D93413">
        <w:rPr>
          <w:rFonts w:eastAsia="Calibri" w:cstheme="minorHAnsi"/>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14" w:history="1">
        <w:r w:rsidRPr="00D93413">
          <w:rPr>
            <w:rFonts w:eastAsia="Calibri" w:cstheme="minorHAnsi"/>
            <w:color w:val="0000FF"/>
            <w:sz w:val="24"/>
            <w:szCs w:val="24"/>
            <w:u w:val="single"/>
          </w:rPr>
          <w:t>https://library.hccs.edu</w:t>
        </w:r>
      </w:hyperlink>
      <w:r w:rsidRPr="00D93413">
        <w:rPr>
          <w:rFonts w:eastAsia="Calibri" w:cstheme="minorHAnsi"/>
          <w:sz w:val="24"/>
          <w:szCs w:val="24"/>
        </w:rPr>
        <w:t xml:space="preserve">. Additionally, many of the required texts are on reserve at the library. Find out library locations and hours here: </w:t>
      </w:r>
      <w:hyperlink r:id="rId15" w:history="1">
        <w:r w:rsidRPr="00D93413">
          <w:rPr>
            <w:rFonts w:eastAsia="Calibri" w:cstheme="minorHAnsi"/>
            <w:color w:val="0000FF"/>
            <w:sz w:val="24"/>
            <w:szCs w:val="24"/>
            <w:u w:val="single"/>
          </w:rPr>
          <w:t>http://library.hccs.edu/about_us/locations_hours</w:t>
        </w:r>
      </w:hyperlink>
      <w:r w:rsidRPr="00D93413">
        <w:rPr>
          <w:rFonts w:eastAsia="Calibri" w:cstheme="minorHAnsi"/>
          <w:sz w:val="24"/>
          <w:szCs w:val="24"/>
        </w:rPr>
        <w:t xml:space="preserve"> </w:t>
      </w:r>
    </w:p>
    <w:p w:rsidR="00D93413" w:rsidRPr="00D93413" w:rsidRDefault="00D93413" w:rsidP="00D93413">
      <w:pPr>
        <w:spacing w:after="0" w:line="240" w:lineRule="auto"/>
        <w:rPr>
          <w:rFonts w:eastAsia="Times New Roman" w:cstheme="minorHAnsi"/>
          <w:i/>
          <w:color w:val="000000"/>
          <w:sz w:val="24"/>
          <w:szCs w:val="24"/>
          <w:u w:val="single"/>
        </w:rPr>
      </w:pPr>
    </w:p>
    <w:p w:rsidR="00D93413" w:rsidRPr="00D93413" w:rsidRDefault="00D93413" w:rsidP="00D93413">
      <w:pPr>
        <w:spacing w:after="0" w:line="240" w:lineRule="auto"/>
        <w:rPr>
          <w:rFonts w:eastAsia="Times New Roman" w:cstheme="minorHAnsi"/>
          <w:i/>
          <w:color w:val="000000"/>
          <w:sz w:val="24"/>
          <w:szCs w:val="24"/>
        </w:rPr>
      </w:pPr>
      <w:r w:rsidRPr="00D93413">
        <w:rPr>
          <w:rFonts w:eastAsia="Times New Roman" w:cstheme="minorHAnsi"/>
          <w:i/>
          <w:color w:val="000000"/>
          <w:sz w:val="24"/>
          <w:szCs w:val="24"/>
          <w:u w:val="single"/>
        </w:rPr>
        <w:t>Online Tutoring</w:t>
      </w:r>
      <w:r w:rsidRPr="00D93413">
        <w:rPr>
          <w:rFonts w:eastAsia="Times New Roman" w:cstheme="minorHAnsi"/>
          <w:i/>
          <w:color w:val="000000"/>
          <w:sz w:val="24"/>
          <w:szCs w:val="24"/>
        </w:rPr>
        <w:t xml:space="preserve">: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D93413" w:rsidRPr="00D93413" w:rsidRDefault="00D93413" w:rsidP="00D93413">
      <w:pPr>
        <w:spacing w:after="0" w:line="240" w:lineRule="auto"/>
        <w:rPr>
          <w:rFonts w:eastAsia="Times New Roman" w:cstheme="minorHAnsi"/>
          <w:color w:val="000000"/>
          <w:sz w:val="24"/>
          <w:szCs w:val="24"/>
        </w:rPr>
      </w:pP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D93413" w:rsidRPr="00D93413" w:rsidRDefault="00D93413" w:rsidP="00D93413">
      <w:pPr>
        <w:spacing w:after="0" w:line="240" w:lineRule="auto"/>
        <w:rPr>
          <w:rFonts w:eastAsia="Times New Roman" w:cstheme="minorHAnsi"/>
          <w:color w:val="000000"/>
          <w:sz w:val="24"/>
          <w:szCs w:val="24"/>
        </w:rPr>
      </w:pP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Students can submit work 24/7/365; we tutor even when the college is closed for holidays or natural disasters. All HCC students can take advantage of online tutoring by logging on to </w:t>
      </w:r>
      <w:hyperlink r:id="rId16" w:history="1">
        <w:r w:rsidRPr="00D93413">
          <w:rPr>
            <w:rFonts w:eastAsia="Calibri" w:cstheme="minorHAnsi"/>
            <w:bCs/>
            <w:color w:val="0000FF"/>
            <w:sz w:val="24"/>
            <w:szCs w:val="24"/>
            <w:u w:val="single"/>
          </w:rPr>
          <w:t>https://hccs.upswing.io/</w:t>
        </w:r>
      </w:hyperlink>
      <w:r w:rsidRPr="00D93413">
        <w:rPr>
          <w:rFonts w:eastAsia="Times New Roman" w:cstheme="minorHAnsi"/>
          <w:bCs/>
          <w:color w:val="000000"/>
          <w:sz w:val="24"/>
          <w:szCs w:val="24"/>
        </w:rPr>
        <w:t xml:space="preserve">. </w:t>
      </w:r>
      <w:r w:rsidRPr="00D93413">
        <w:rPr>
          <w:rFonts w:eastAsia="Times New Roman" w:cstheme="minorHAnsi"/>
          <w:color w:val="000000"/>
          <w:sz w:val="24"/>
          <w:szCs w:val="24"/>
        </w:rPr>
        <w:t xml:space="preserve"> The HCC email address and the associated password get students into the online tutoring site, so when the email password changes, so does the Upswing password.   </w:t>
      </w:r>
    </w:p>
    <w:p w:rsidR="00D93413" w:rsidRPr="00D93413" w:rsidRDefault="00D93413" w:rsidP="00D93413">
      <w:pPr>
        <w:spacing w:after="0" w:line="240" w:lineRule="auto"/>
        <w:rPr>
          <w:rFonts w:eastAsia="Times New Roman" w:cstheme="minorHAnsi"/>
          <w:color w:val="000000"/>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t>Open Computer Labs</w:t>
      </w:r>
      <w:r w:rsidRPr="00D93413">
        <w:rPr>
          <w:rFonts w:eastAsia="Calibri" w:cstheme="minorHAnsi"/>
          <w:sz w:val="24"/>
          <w:szCs w:val="24"/>
        </w:rPr>
        <w:t>: Students have free access to the internet and word processing in open computer labs available at HCC campuses. Check on the door of the open computer lab for hours of operation.</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i/>
          <w:color w:val="000000"/>
          <w:sz w:val="24"/>
          <w:szCs w:val="24"/>
          <w:u w:val="single"/>
        </w:rPr>
        <w:t>Tutoring Centers</w:t>
      </w:r>
      <w:r w:rsidRPr="00D93413">
        <w:rPr>
          <w:rFonts w:eastAsia="Times New Roman" w:cstheme="minorHAnsi"/>
          <w:i/>
          <w:color w:val="000000"/>
          <w:sz w:val="24"/>
          <w:szCs w:val="24"/>
        </w:rPr>
        <w:t>:</w:t>
      </w:r>
      <w:r w:rsidRPr="00D93413">
        <w:rPr>
          <w:rFonts w:eastAsia="Times New Roman" w:cstheme="minorHAnsi"/>
          <w:color w:val="000000"/>
          <w:sz w:val="24"/>
          <w:szCs w:val="24"/>
        </w:rPr>
        <w:t xml:space="preserve"> </w:t>
      </w: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w:t>
      </w:r>
      <w:r w:rsidRPr="00D93413">
        <w:rPr>
          <w:rFonts w:eastAsia="Times New Roman" w:cstheme="minorHAnsi"/>
          <w:color w:val="000000"/>
          <w:sz w:val="24"/>
          <w:szCs w:val="24"/>
        </w:rPr>
        <w:lastRenderedPageBreak/>
        <w:t>helping students achieve their educational, personal, and career goals by empowering them to become confident, independent, lifelong learners.</w:t>
      </w:r>
    </w:p>
    <w:p w:rsidR="00D93413" w:rsidRPr="00D93413" w:rsidRDefault="00D93413" w:rsidP="00D93413">
      <w:pPr>
        <w:spacing w:after="0" w:line="240" w:lineRule="auto"/>
        <w:rPr>
          <w:rFonts w:eastAsia="Times New Roman" w:cstheme="minorHAnsi"/>
          <w:color w:val="000000"/>
          <w:sz w:val="24"/>
          <w:szCs w:val="24"/>
        </w:rPr>
      </w:pPr>
    </w:p>
    <w:p w:rsidR="00D93413" w:rsidRPr="00D93413" w:rsidRDefault="00D93413" w:rsidP="00D93413">
      <w:pPr>
        <w:spacing w:after="0" w:line="240" w:lineRule="auto"/>
        <w:rPr>
          <w:rFonts w:eastAsia="Times New Roman" w:cstheme="minorHAnsi"/>
          <w:color w:val="000000"/>
          <w:sz w:val="24"/>
          <w:szCs w:val="24"/>
        </w:rPr>
      </w:pPr>
      <w:r w:rsidRPr="00D93413">
        <w:rPr>
          <w:rFonts w:eastAsia="Times New Roman" w:cstheme="minorHAnsi"/>
          <w:color w:val="000000"/>
          <w:sz w:val="24"/>
          <w:szCs w:val="24"/>
        </w:rPr>
        <w:t xml:space="preserve">Tutoring for individual subjects is offered at specific times throughout the week on various campuses.  There is no need to make an appointment.  If you need a tutor, please refer to our website:  </w:t>
      </w:r>
      <w:hyperlink r:id="rId17" w:history="1">
        <w:r w:rsidRPr="00D93413">
          <w:rPr>
            <w:rFonts w:eastAsia="Calibri" w:cstheme="minorHAnsi"/>
            <w:color w:val="0000FF"/>
            <w:sz w:val="24"/>
            <w:szCs w:val="24"/>
            <w:u w:val="single"/>
          </w:rPr>
          <w:t>http://ctle3.hccs.edu/alltutoring/</w:t>
        </w:r>
      </w:hyperlink>
      <w:r w:rsidRPr="00D93413">
        <w:rPr>
          <w:rFonts w:eastAsia="Times New Roman" w:cstheme="minorHAnsi"/>
          <w:color w:val="000000"/>
          <w:sz w:val="24"/>
          <w:szCs w:val="24"/>
        </w:rPr>
        <w:t xml:space="preserve"> for times and locations. For more information about tutoring at HCC, please go to hccs.edu/district/students/tutoring</w:t>
      </w:r>
    </w:p>
    <w:p w:rsidR="00D93413" w:rsidRPr="00D93413" w:rsidRDefault="00D93413" w:rsidP="00D93413">
      <w:pPr>
        <w:spacing w:after="0" w:line="240" w:lineRule="auto"/>
        <w:ind w:left="360"/>
        <w:rPr>
          <w:rFonts w:eastAsia="Calibri" w:cstheme="minorHAnsi"/>
          <w:sz w:val="24"/>
          <w:szCs w:val="24"/>
        </w:rPr>
      </w:pPr>
    </w:p>
    <w:p w:rsidR="00D93413" w:rsidRPr="00D93413" w:rsidRDefault="00D93413" w:rsidP="00D93413">
      <w:pPr>
        <w:spacing w:after="0" w:line="240" w:lineRule="auto"/>
        <w:rPr>
          <w:rFonts w:eastAsia="Calibri" w:cstheme="minorHAnsi"/>
          <w:b/>
          <w:sz w:val="24"/>
          <w:szCs w:val="24"/>
        </w:rPr>
      </w:pPr>
      <w:r w:rsidRPr="00D93413">
        <w:rPr>
          <w:rFonts w:eastAsia="Calibri" w:cstheme="minorHAnsi"/>
          <w:b/>
          <w:sz w:val="24"/>
          <w:szCs w:val="24"/>
          <w:u w:val="single"/>
        </w:rPr>
        <w:t>Important HCCS and Course Policies</w:t>
      </w:r>
      <w:r w:rsidRPr="00D93413">
        <w:rPr>
          <w:rFonts w:eastAsia="Calibri" w:cstheme="minorHAnsi"/>
          <w:b/>
          <w:sz w:val="24"/>
          <w:szCs w:val="24"/>
        </w:rPr>
        <w:t>:</w:t>
      </w:r>
    </w:p>
    <w:p w:rsidR="00D93413" w:rsidRPr="00D93413" w:rsidRDefault="00D93413" w:rsidP="00D93413">
      <w:pPr>
        <w:spacing w:after="0" w:line="240" w:lineRule="auto"/>
        <w:rPr>
          <w:rFonts w:eastAsia="Calibri" w:cstheme="minorHAnsi"/>
          <w:sz w:val="24"/>
          <w:szCs w:val="24"/>
        </w:rPr>
      </w:pPr>
      <w:bookmarkStart w:id="1" w:name="_Hlk490120720"/>
      <w:r w:rsidRPr="00D93413">
        <w:rPr>
          <w:rFonts w:eastAsia="Calibri" w:cstheme="minorHAnsi"/>
          <w:sz w:val="24"/>
          <w:szCs w:val="24"/>
        </w:rPr>
        <w:t xml:space="preserve">Please see </w:t>
      </w:r>
      <w:hyperlink r:id="rId18" w:history="1">
        <w:r w:rsidRPr="00D93413">
          <w:rPr>
            <w:rFonts w:eastAsia="Calibri" w:cstheme="minorHAnsi"/>
            <w:color w:val="0000FF"/>
            <w:sz w:val="24"/>
            <w:szCs w:val="24"/>
            <w:u w:val="single"/>
          </w:rPr>
          <w:t>http://www.hccs.edu/resources-for/current-students/student-handbook/</w:t>
        </w:r>
      </w:hyperlink>
      <w:r w:rsidRPr="00D93413">
        <w:rPr>
          <w:rFonts w:eastAsia="Calibri" w:cstheme="minorHAnsi"/>
          <w:sz w:val="24"/>
          <w:szCs w:val="24"/>
        </w:rPr>
        <w:t xml:space="preserve"> for any changes to HCC policies that might happen during the semester. </w:t>
      </w:r>
    </w:p>
    <w:bookmarkEnd w:id="1"/>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beforeLines="1" w:before="2" w:after="0" w:line="240" w:lineRule="auto"/>
        <w:rPr>
          <w:rFonts w:eastAsia="Calibri" w:cstheme="minorHAnsi"/>
          <w:sz w:val="24"/>
          <w:szCs w:val="24"/>
        </w:rPr>
      </w:pPr>
      <w:r w:rsidRPr="00D93413">
        <w:rPr>
          <w:rFonts w:eastAsia="Calibri" w:cstheme="minorHAnsi"/>
          <w:i/>
          <w:sz w:val="24"/>
          <w:szCs w:val="24"/>
          <w:u w:val="single"/>
        </w:rPr>
        <w:t>Academic Honesty</w:t>
      </w:r>
      <w:r w:rsidRPr="00D93413">
        <w:rPr>
          <w:rFonts w:eastAsia="Calibri" w:cstheme="minorHAnsi"/>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D93413" w:rsidRPr="00D93413" w:rsidRDefault="00D93413" w:rsidP="00D93413">
      <w:pPr>
        <w:spacing w:beforeLines="1" w:before="2" w:after="0" w:line="240" w:lineRule="auto"/>
        <w:ind w:left="360"/>
        <w:rPr>
          <w:rFonts w:eastAsia="Calibri" w:cstheme="minorHAnsi"/>
          <w:sz w:val="24"/>
          <w:szCs w:val="24"/>
        </w:rPr>
      </w:pPr>
    </w:p>
    <w:p w:rsidR="00D93413" w:rsidRPr="00D93413" w:rsidRDefault="00D93413" w:rsidP="00D93413">
      <w:pPr>
        <w:spacing w:beforeLines="1" w:before="2" w:after="0" w:line="240" w:lineRule="auto"/>
        <w:ind w:left="360"/>
        <w:rPr>
          <w:rFonts w:eastAsia="Calibri" w:cstheme="minorHAnsi"/>
          <w:sz w:val="24"/>
          <w:szCs w:val="24"/>
        </w:rPr>
      </w:pPr>
      <w:r w:rsidRPr="00D93413">
        <w:rPr>
          <w:rFonts w:eastAsia="Calibri" w:cstheme="minorHAnsi"/>
          <w:sz w:val="24"/>
          <w:szCs w:val="24"/>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rsidRPr="00D93413">
        <w:rPr>
          <w:rFonts w:eastAsia="Calibri" w:cstheme="minorHAnsi"/>
          <w:sz w:val="24"/>
          <w:szCs w:val="24"/>
        </w:rPr>
        <w:t>Students</w:t>
      </w:r>
      <w:proofErr w:type="gramEnd"/>
      <w:r w:rsidRPr="00D93413">
        <w:rPr>
          <w:rFonts w:eastAsia="Calibri" w:cstheme="minorHAnsi"/>
          <w:sz w:val="24"/>
          <w:szCs w:val="24"/>
        </w:rPr>
        <w:t xml:space="preserve"> who plagiarize, collude, or cheat may face disciplinary action including the grade of 0 for the assignment, an F for the course, and/or dismissal from the college.  (See Student Handbook)</w:t>
      </w:r>
    </w:p>
    <w:p w:rsidR="00D93413" w:rsidRPr="00D93413" w:rsidRDefault="00D93413" w:rsidP="00D93413">
      <w:pPr>
        <w:spacing w:after="0" w:line="240" w:lineRule="auto"/>
        <w:rPr>
          <w:rFonts w:eastAsia="Times New Roman" w:cstheme="minorHAnsi"/>
          <w:i/>
          <w:sz w:val="24"/>
          <w:szCs w:val="24"/>
          <w:u w:val="single"/>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i/>
          <w:sz w:val="24"/>
          <w:szCs w:val="24"/>
          <w:u w:val="single"/>
        </w:rPr>
        <w:t>Attendance</w:t>
      </w:r>
      <w:r w:rsidRPr="00D93413">
        <w:rPr>
          <w:rFonts w:eastAsia="Times New Roman" w:cstheme="minorHAnsi"/>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D93413">
        <w:rPr>
          <w:rFonts w:eastAsia="Times New Roman" w:cstheme="minorHAnsi"/>
          <w:b/>
          <w:sz w:val="24"/>
          <w:szCs w:val="24"/>
        </w:rPr>
        <w:t>before</w:t>
      </w:r>
      <w:r w:rsidRPr="00D93413">
        <w:rPr>
          <w:rFonts w:eastAsia="Times New Roman" w:cstheme="minorHAnsi"/>
          <w:sz w:val="24"/>
          <w:szCs w:val="24"/>
        </w:rPr>
        <w:t xml:space="preserve"> </w:t>
      </w:r>
      <w:r w:rsidRPr="00D93413">
        <w:rPr>
          <w:rFonts w:eastAsia="Times New Roman" w:cstheme="minorHAnsi"/>
          <w:b/>
          <w:sz w:val="24"/>
          <w:szCs w:val="24"/>
        </w:rPr>
        <w:t>class</w:t>
      </w:r>
      <w:r w:rsidRPr="00D93413">
        <w:rPr>
          <w:rFonts w:eastAsia="Times New Roman" w:cstheme="minorHAnsi"/>
          <w:sz w:val="24"/>
          <w:szCs w:val="24"/>
        </w:rPr>
        <w:t xml:space="preserve"> and make plans to meet with me in office hours. If you have more than four (4) absences before the official date of record Monday, September 10, you may be automatically withdrawn from the course.</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color w:val="212121"/>
          <w:sz w:val="24"/>
          <w:szCs w:val="24"/>
          <w:u w:val="single"/>
        </w:rPr>
        <w:t>Campus Carry</w:t>
      </w:r>
      <w:r w:rsidRPr="00D93413">
        <w:rPr>
          <w:rFonts w:eastAsia="Calibri" w:cstheme="minorHAnsi"/>
          <w:color w:val="212121"/>
          <w:sz w:val="24"/>
          <w:szCs w:val="24"/>
        </w:rPr>
        <w:t>: At HCC the safety of our students, staff, and faculty is our first priority. As of August 1, 2017, Houston Community College is subject to the Campus Carry Law (SB11 2015). For more information, visit the HCC Campus Carry web page at </w:t>
      </w:r>
      <w:hyperlink r:id="rId19" w:history="1">
        <w:r w:rsidRPr="00D93413">
          <w:rPr>
            <w:rFonts w:eastAsia="Calibri" w:cstheme="minorHAnsi"/>
            <w:color w:val="0000FF"/>
            <w:sz w:val="24"/>
            <w:szCs w:val="24"/>
            <w:u w:val="single"/>
          </w:rPr>
          <w:t>http://www.hccs.edu/departments/police/campus-carry/campus-carry-and-open-carry-faqs/</w:t>
        </w:r>
      </w:hyperlink>
      <w:r w:rsidRPr="00D93413">
        <w:rPr>
          <w:rFonts w:eastAsia="Calibri" w:cstheme="minorHAnsi"/>
          <w:sz w:val="24"/>
          <w:szCs w:val="24"/>
        </w:rPr>
        <w:t xml:space="preserve"> </w:t>
      </w:r>
    </w:p>
    <w:p w:rsidR="00D93413" w:rsidRPr="00D93413" w:rsidRDefault="00D93413" w:rsidP="00D93413">
      <w:pPr>
        <w:spacing w:beforeLines="1" w:before="2" w:after="0" w:line="240" w:lineRule="auto"/>
        <w:rPr>
          <w:rFonts w:eastAsia="Calibri" w:cstheme="minorHAnsi"/>
          <w:i/>
          <w:sz w:val="24"/>
          <w:szCs w:val="24"/>
          <w:u w:val="single"/>
        </w:rPr>
      </w:pPr>
    </w:p>
    <w:p w:rsidR="00D93413" w:rsidRPr="00D93413" w:rsidRDefault="00D93413" w:rsidP="00D93413">
      <w:pPr>
        <w:spacing w:after="0" w:line="240" w:lineRule="auto"/>
        <w:rPr>
          <w:rFonts w:eastAsia="Calibri" w:cstheme="minorHAnsi"/>
          <w:i/>
          <w:sz w:val="24"/>
          <w:szCs w:val="24"/>
          <w:u w:val="single"/>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lastRenderedPageBreak/>
        <w:t>Campus Safety</w:t>
      </w:r>
      <w:r w:rsidRPr="00D93413">
        <w:rPr>
          <w:rFonts w:eastAsia="Calibri" w:cstheme="minorHAnsi"/>
          <w:sz w:val="24"/>
          <w:szCs w:val="24"/>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t>EGLS3 (Evaluation for Greater Learning Student Survey System)</w:t>
      </w:r>
      <w:r w:rsidRPr="00D93413">
        <w:rPr>
          <w:rFonts w:eastAsia="Calibri" w:cstheme="minorHAnsi"/>
          <w:sz w:val="24"/>
          <w:szCs w:val="24"/>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0" w:history="1">
        <w:r w:rsidRPr="00D93413">
          <w:rPr>
            <w:rFonts w:eastAsia="Calibri" w:cstheme="minorHAnsi"/>
            <w:color w:val="0000FF"/>
            <w:sz w:val="24"/>
            <w:szCs w:val="24"/>
            <w:u w:val="single"/>
          </w:rPr>
          <w:t>http://www.hccs.edu/resources-for/current-students/egls3-evaluate-your-professors/</w:t>
        </w:r>
      </w:hyperlink>
      <w:r w:rsidRPr="00D93413">
        <w:rPr>
          <w:rFonts w:eastAsia="Calibri" w:cstheme="minorHAnsi"/>
          <w:sz w:val="24"/>
          <w:szCs w:val="24"/>
        </w:rPr>
        <w:t xml:space="preserve"> for directions.</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t>Final Grade of FX</w:t>
      </w:r>
      <w:r w:rsidRPr="00D93413">
        <w:rPr>
          <w:rFonts w:eastAsia="Calibri" w:cstheme="minorHAnsi"/>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i/>
          <w:sz w:val="24"/>
          <w:szCs w:val="24"/>
          <w:u w:val="single"/>
        </w:rPr>
        <w:t>HCC Online</w:t>
      </w:r>
      <w:r w:rsidRPr="00D93413">
        <w:rPr>
          <w:rFonts w:eastAsia="Times New Roman" w:cstheme="minorHAnsi"/>
          <w:sz w:val="24"/>
          <w:szCs w:val="24"/>
        </w:rPr>
        <w:t>: (</w:t>
      </w:r>
      <w:r w:rsidRPr="00D93413">
        <w:rPr>
          <w:rFonts w:eastAsia="Times New Roman" w:cstheme="minorHAnsi"/>
          <w:b/>
          <w:sz w:val="24"/>
          <w:szCs w:val="24"/>
        </w:rPr>
        <w:t>To be included in syllabi for HCC Online courses only</w:t>
      </w:r>
      <w:r w:rsidRPr="00D93413">
        <w:rPr>
          <w:rFonts w:eastAsia="Times New Roman" w:cstheme="minorHAnsi"/>
          <w:sz w:val="24"/>
          <w:szCs w:val="24"/>
        </w:rPr>
        <w:t xml:space="preserve">): </w:t>
      </w:r>
      <w:r w:rsidRPr="00D93413">
        <w:rPr>
          <w:rFonts w:eastAsia="Times New Roman" w:cstheme="minorHAnsi"/>
          <w:iCs/>
          <w:sz w:val="24"/>
          <w:szCs w:val="24"/>
        </w:rPr>
        <w:t>A</w:t>
      </w:r>
      <w:r w:rsidRPr="00D93413">
        <w:rPr>
          <w:rFonts w:eastAsia="Times New Roman" w:cstheme="minorHAnsi"/>
          <w:sz w:val="24"/>
          <w:szCs w:val="24"/>
        </w:rPr>
        <w:t xml:space="preserve">ccess HCC Online Policies on their Web site: </w:t>
      </w:r>
      <w:hyperlink r:id="rId21" w:history="1">
        <w:r w:rsidRPr="00D93413">
          <w:rPr>
            <w:rFonts w:eastAsia="Times New Roman" w:cstheme="minorHAnsi"/>
            <w:color w:val="0000FF"/>
            <w:sz w:val="24"/>
            <w:szCs w:val="24"/>
            <w:u w:val="single"/>
          </w:rPr>
          <w:t>http://www.hccs.edu/online/</w:t>
        </w:r>
      </w:hyperlink>
      <w:r w:rsidRPr="00D93413">
        <w:rPr>
          <w:rFonts w:eastAsia="Times New Roman" w:cstheme="minorHAnsi"/>
          <w:sz w:val="24"/>
          <w:szCs w:val="24"/>
        </w:rPr>
        <w:t xml:space="preserve"> </w:t>
      </w: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sz w:val="24"/>
          <w:szCs w:val="24"/>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 </w:t>
      </w:r>
      <w:hyperlink r:id="rId22" w:history="1">
        <w:r w:rsidRPr="00D93413">
          <w:rPr>
            <w:rFonts w:eastAsia="Calibri" w:cstheme="minorHAnsi"/>
            <w:color w:val="0000FF"/>
            <w:sz w:val="24"/>
            <w:szCs w:val="24"/>
            <w:u w:val="single"/>
          </w:rPr>
          <w:t>http://www.hccs.edu/media/houston-community-college/distance-education/student-services/HCC-Online-Student-Handbook.pdf</w:t>
        </w:r>
      </w:hyperlink>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i/>
          <w:sz w:val="24"/>
          <w:szCs w:val="24"/>
          <w:u w:val="single"/>
        </w:rPr>
        <w:t>International Students</w:t>
      </w:r>
      <w:r w:rsidRPr="00D93413">
        <w:rPr>
          <w:rFonts w:eastAsia="Calibri" w:cstheme="minorHAnsi"/>
          <w:sz w:val="24"/>
          <w:szCs w:val="24"/>
        </w:rPr>
        <w:t xml:space="preserve">: Receiving a W in a course may affect the status of your student Visa. Once a W is given for the course, it will not be changed to an F because of the visa consideration. Since January 1, 2003, International Students are restricted in the number of </w:t>
      </w:r>
      <w:r w:rsidRPr="00D93413">
        <w:rPr>
          <w:rFonts w:eastAsia="Calibri" w:cstheme="minorHAnsi"/>
          <w:sz w:val="24"/>
          <w:szCs w:val="24"/>
        </w:rPr>
        <w:lastRenderedPageBreak/>
        <w:t xml:space="preserve">distance education courses that they may take during each semester. International students must have full-time enrollment status of 12 or more semester credit </w:t>
      </w:r>
      <w:proofErr w:type="gramStart"/>
      <w:r w:rsidRPr="00D93413">
        <w:rPr>
          <w:rFonts w:eastAsia="Calibri" w:cstheme="minorHAnsi"/>
          <w:sz w:val="24"/>
          <w:szCs w:val="24"/>
        </w:rPr>
        <w:t>hours,</w:t>
      </w:r>
      <w:proofErr w:type="gramEnd"/>
      <w:r w:rsidRPr="00D93413">
        <w:rPr>
          <w:rFonts w:eastAsia="Calibri" w:cstheme="minorHAnsi"/>
          <w:sz w:val="24"/>
          <w:szCs w:val="24"/>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proofErr w:type="gramStart"/>
      <w:r w:rsidRPr="00D93413">
        <w:rPr>
          <w:rFonts w:eastAsia="Calibri" w:cstheme="minorHAnsi"/>
          <w:i/>
          <w:sz w:val="24"/>
          <w:szCs w:val="24"/>
          <w:u w:val="single"/>
        </w:rPr>
        <w:t>Repeating Courses</w:t>
      </w:r>
      <w:r w:rsidRPr="00D93413">
        <w:rPr>
          <w:rFonts w:eastAsia="Calibri" w:cstheme="minorHAnsi"/>
          <w:sz w:val="24"/>
          <w:szCs w:val="24"/>
        </w:rPr>
        <w:t>: Students who repeat a course for three or more times will face significant tuition/fee increases at HCC and other Texas public colleges and universities.</w:t>
      </w:r>
      <w:proofErr w:type="gramEnd"/>
      <w:r w:rsidRPr="00D93413">
        <w:rPr>
          <w:rFonts w:eastAsia="Calibri" w:cstheme="minorHAnsi"/>
          <w:sz w:val="24"/>
          <w:szCs w:val="24"/>
        </w:rPr>
        <w:t xml:space="preserve"> Please ask your instructor or counselor/advisor about opportunities for tutoring and/or other assistance prior to considering course withdrawal or if you are not receiving passing grades.</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iCs/>
          <w:sz w:val="24"/>
          <w:szCs w:val="24"/>
        </w:rPr>
      </w:pPr>
      <w:bookmarkStart w:id="2" w:name="_Hlk490120993"/>
      <w:r w:rsidRPr="00D93413">
        <w:rPr>
          <w:rFonts w:eastAsia="Calibri" w:cstheme="minorHAnsi"/>
          <w:i/>
          <w:iCs/>
          <w:sz w:val="24"/>
          <w:szCs w:val="24"/>
          <w:u w:val="single"/>
        </w:rPr>
        <w:t>Sexual Misconduct</w:t>
      </w:r>
      <w:r w:rsidRPr="00D93413">
        <w:rPr>
          <w:rFonts w:eastAsia="Calibri" w:cstheme="minorHAnsi"/>
          <w:iCs/>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3" w:history="1">
        <w:r w:rsidRPr="00D93413">
          <w:rPr>
            <w:rFonts w:eastAsia="Calibri" w:cstheme="minorHAnsi"/>
            <w:iCs/>
            <w:color w:val="0000FF"/>
            <w:sz w:val="24"/>
            <w:szCs w:val="24"/>
            <w:u w:val="single"/>
          </w:rPr>
          <w:t>institutional.equity@hccs.edu</w:t>
        </w:r>
      </w:hyperlink>
      <w:r w:rsidRPr="00D93413">
        <w:rPr>
          <w:rFonts w:eastAsia="Calibri" w:cstheme="minorHAnsi"/>
          <w:iCs/>
          <w:sz w:val="24"/>
          <w:szCs w:val="24"/>
        </w:rPr>
        <w:t xml:space="preserve">. </w:t>
      </w:r>
    </w:p>
    <w:bookmarkEnd w:id="2"/>
    <w:p w:rsidR="00D93413" w:rsidRPr="00D93413" w:rsidRDefault="00D93413" w:rsidP="00D93413">
      <w:pPr>
        <w:spacing w:beforeLines="1" w:before="2"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iCs/>
          <w:color w:val="000000"/>
          <w:sz w:val="24"/>
          <w:szCs w:val="24"/>
        </w:rPr>
      </w:pPr>
      <w:r w:rsidRPr="00D93413">
        <w:rPr>
          <w:rFonts w:eastAsia="Calibri" w:cstheme="minorHAnsi"/>
          <w:i/>
          <w:sz w:val="24"/>
          <w:szCs w:val="24"/>
          <w:u w:val="single"/>
        </w:rPr>
        <w:t>Title IX Discrimination</w:t>
      </w:r>
      <w:r w:rsidRPr="00D93413">
        <w:rPr>
          <w:rFonts w:eastAsia="Calibri" w:cstheme="minorHAnsi"/>
          <w:sz w:val="24"/>
          <w:szCs w:val="24"/>
        </w:rPr>
        <w:t xml:space="preserve">: </w:t>
      </w:r>
      <w:r w:rsidRPr="00D93413">
        <w:rPr>
          <w:rFonts w:eastAsia="Calibri" w:cstheme="minorHAnsi"/>
          <w:iCs/>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D93413">
        <w:rPr>
          <w:rFonts w:eastAsia="Calibri" w:cstheme="minorHAnsi"/>
          <w:iCs/>
          <w:sz w:val="24"/>
          <w:szCs w:val="24"/>
        </w:rPr>
        <w:t xml:space="preserve">Title IX prohibits discrimination on the basis of sex-including pregnancy and parental status-in educational programs and activities.  If you require an accommodation due to pregnancy please contact an Abilities Services Counselor.  </w:t>
      </w:r>
      <w:r w:rsidRPr="00D93413">
        <w:rPr>
          <w:rFonts w:eastAsia="Calibri" w:cstheme="minorHAnsi"/>
          <w:iCs/>
          <w:color w:val="000000"/>
          <w:sz w:val="24"/>
          <w:szCs w:val="24"/>
        </w:rPr>
        <w:t xml:space="preserve">The Director of EEO/Compliance is designated as the Title IX Coordinator and Section 504 Coordinator.  </w:t>
      </w:r>
    </w:p>
    <w:p w:rsidR="00D93413" w:rsidRPr="00D93413" w:rsidRDefault="00D93413" w:rsidP="00D93413">
      <w:pPr>
        <w:spacing w:after="0" w:line="240" w:lineRule="auto"/>
        <w:rPr>
          <w:rFonts w:eastAsia="Calibri" w:cstheme="minorHAnsi"/>
          <w:iCs/>
          <w:color w:val="000000"/>
          <w:sz w:val="24"/>
          <w:szCs w:val="24"/>
        </w:rPr>
      </w:pP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All inquiries concerning HCC policies, compliance with applicable laws, statutes, and regulations (such as Title VI, Title IX, and Section 504), and complaints may be directed to: </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David Cross</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Director EEO/Compliance</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Office of Institutional Equity &amp; Diversity</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3100 Main</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(713) 718-8271</w:t>
      </w:r>
    </w:p>
    <w:p w:rsidR="00D93413" w:rsidRPr="00D93413" w:rsidRDefault="00D93413" w:rsidP="00D93413">
      <w:pPr>
        <w:spacing w:after="0" w:line="240" w:lineRule="auto"/>
        <w:rPr>
          <w:rFonts w:eastAsia="Calibri" w:cstheme="minorHAnsi"/>
          <w:color w:val="000000"/>
          <w:sz w:val="24"/>
          <w:szCs w:val="24"/>
        </w:rPr>
      </w:pPr>
      <w:r w:rsidRPr="00D93413">
        <w:rPr>
          <w:rFonts w:eastAsia="Calibri" w:cstheme="minorHAnsi"/>
          <w:iCs/>
          <w:color w:val="000000"/>
          <w:sz w:val="24"/>
          <w:szCs w:val="24"/>
        </w:rPr>
        <w:t xml:space="preserve">Houston, TX 77266-7517 or Houston, TX 77266-7517 or </w:t>
      </w:r>
      <w:hyperlink r:id="rId24" w:tgtFrame="_blank" w:history="1">
        <w:r w:rsidRPr="00D93413">
          <w:rPr>
            <w:rFonts w:eastAsia="Calibri" w:cstheme="minorHAnsi"/>
            <w:iCs/>
            <w:color w:val="0000FF"/>
            <w:sz w:val="24"/>
            <w:szCs w:val="24"/>
            <w:u w:val="single"/>
          </w:rPr>
          <w:t>Institutional.Equity@hccs.edu</w:t>
        </w:r>
      </w:hyperlink>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Times New Roman" w:cstheme="minorHAnsi"/>
          <w:sz w:val="24"/>
          <w:szCs w:val="24"/>
        </w:rPr>
      </w:pPr>
      <w:r w:rsidRPr="00D93413">
        <w:rPr>
          <w:rFonts w:eastAsia="Times New Roman" w:cstheme="minorHAnsi"/>
          <w:i/>
          <w:sz w:val="24"/>
          <w:szCs w:val="24"/>
          <w:u w:val="single"/>
        </w:rPr>
        <w:t>Withdrawal Policy</w:t>
      </w:r>
      <w:r w:rsidRPr="00D93413">
        <w:rPr>
          <w:rFonts w:eastAsia="Times New Roman" w:cstheme="minorHAnsi"/>
          <w:sz w:val="24"/>
          <w:szCs w:val="24"/>
        </w:rPr>
        <w:t xml:space="preserve">: Before withdrawing from the course, it is important to communicate with your professor and counselors to discuss your options for succeeding in the course. If all other options have been exhausted, you may withdraw yourself, but the last date to withdraw this </w:t>
      </w:r>
      <w:r w:rsidRPr="00D93413">
        <w:rPr>
          <w:rFonts w:eastAsia="Times New Roman" w:cstheme="minorHAnsi"/>
          <w:sz w:val="24"/>
          <w:szCs w:val="24"/>
        </w:rPr>
        <w:lastRenderedPageBreak/>
        <w:t>semester is</w:t>
      </w:r>
      <w:r w:rsidRPr="00D93413">
        <w:rPr>
          <w:rFonts w:eastAsia="Times New Roman" w:cstheme="minorHAnsi"/>
          <w:b/>
          <w:sz w:val="24"/>
          <w:szCs w:val="24"/>
        </w:rPr>
        <w:t xml:space="preserve"> Friday, November 2</w:t>
      </w:r>
      <w:r w:rsidRPr="00D93413">
        <w:rPr>
          <w:rFonts w:eastAsia="Times New Roman" w:cstheme="minorHAnsi"/>
          <w:sz w:val="24"/>
          <w:szCs w:val="24"/>
        </w:rPr>
        <w:t>. Please remember that it is the student’s responsibility to withdraw from a course. If you stop attending the class and don’t withdraw by this date, you are subject to the FX grading policy.</w:t>
      </w: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 xml:space="preserve">SLO 1: Demonstrate knowledge of individual and collaborative writing processes. </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Peer review</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Group presentations</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In-class writing workshops</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Lessons on outlining / generating ideas / brainstorming</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Using in-person and online HCC resources (the Writing Center, Upswing)</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Computer literacy activities</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Group essays</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 xml:space="preserve">In-class group work (think / pair / share, </w:t>
      </w:r>
      <w:proofErr w:type="spellStart"/>
      <w:r w:rsidRPr="00D93413">
        <w:rPr>
          <w:rFonts w:eastAsia="Calibri" w:cstheme="minorHAnsi"/>
          <w:sz w:val="24"/>
          <w:szCs w:val="24"/>
        </w:rPr>
        <w:t>etc</w:t>
      </w:r>
      <w:proofErr w:type="spellEnd"/>
      <w:r w:rsidRPr="00D93413">
        <w:rPr>
          <w:rFonts w:eastAsia="Calibri" w:cstheme="minorHAnsi"/>
          <w:sz w:val="24"/>
          <w:szCs w:val="24"/>
        </w:rPr>
        <w:t>)</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Library orientations</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 xml:space="preserve">Low-stakes daily writing (reflective writing, journal writing, </w:t>
      </w:r>
      <w:proofErr w:type="spellStart"/>
      <w:r w:rsidRPr="00D93413">
        <w:rPr>
          <w:rFonts w:eastAsia="Calibri" w:cstheme="minorHAnsi"/>
          <w:sz w:val="24"/>
          <w:szCs w:val="24"/>
        </w:rPr>
        <w:t>etc</w:t>
      </w:r>
      <w:proofErr w:type="spellEnd"/>
      <w:r w:rsidRPr="00D93413">
        <w:rPr>
          <w:rFonts w:eastAsia="Calibri" w:cstheme="minorHAnsi"/>
          <w:sz w:val="24"/>
          <w:szCs w:val="24"/>
        </w:rPr>
        <w:t>)</w:t>
      </w:r>
    </w:p>
    <w:p w:rsidR="00D93413" w:rsidRPr="00D93413" w:rsidRDefault="00D93413" w:rsidP="00D93413">
      <w:pPr>
        <w:numPr>
          <w:ilvl w:val="0"/>
          <w:numId w:val="4"/>
        </w:numPr>
        <w:spacing w:after="0" w:line="240" w:lineRule="auto"/>
        <w:contextualSpacing/>
        <w:rPr>
          <w:rFonts w:eastAsia="Calibri" w:cstheme="minorHAnsi"/>
          <w:sz w:val="24"/>
          <w:szCs w:val="24"/>
        </w:rPr>
      </w:pPr>
      <w:r w:rsidRPr="00D93413">
        <w:rPr>
          <w:rFonts w:eastAsia="Calibri" w:cstheme="minorHAnsi"/>
          <w:sz w:val="24"/>
          <w:szCs w:val="24"/>
        </w:rPr>
        <w:t>Activities that teach writing as a process</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SLO 2: Develop ideas with appropriate support and attribution</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Lessons on paragraph structure</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Identifying supporting details</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Unpacking quotes</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Using different structure for organization</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Practice in paraphrasing, quoting, summarizing</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Developing appropriate, college-level thesis statements</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Introducing a source</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Showing attribution for a source</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Reporting verbs (verbs in a signal phrase)</w:t>
      </w:r>
    </w:p>
    <w:p w:rsidR="00D93413" w:rsidRPr="00D93413" w:rsidRDefault="00D93413" w:rsidP="00D93413">
      <w:pPr>
        <w:numPr>
          <w:ilvl w:val="0"/>
          <w:numId w:val="5"/>
        </w:numPr>
        <w:spacing w:after="0" w:line="240" w:lineRule="auto"/>
        <w:contextualSpacing/>
        <w:rPr>
          <w:rFonts w:eastAsia="Calibri" w:cstheme="minorHAnsi"/>
          <w:sz w:val="24"/>
          <w:szCs w:val="24"/>
        </w:rPr>
      </w:pPr>
      <w:r w:rsidRPr="00D93413">
        <w:rPr>
          <w:rFonts w:eastAsia="Calibri" w:cstheme="minorHAnsi"/>
          <w:sz w:val="24"/>
          <w:szCs w:val="24"/>
        </w:rPr>
        <w:t>Research strategies</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SLO 3: Write in a style appropriate to audience and purpose</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Strategies to determine tone</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Audience exercises</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Unpacking / previewing an assignment</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Identifying text patterns</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Research strategies</w:t>
      </w:r>
    </w:p>
    <w:p w:rsidR="00D93413" w:rsidRPr="00D93413" w:rsidRDefault="00D93413" w:rsidP="00D93413">
      <w:pPr>
        <w:numPr>
          <w:ilvl w:val="0"/>
          <w:numId w:val="6"/>
        </w:numPr>
        <w:spacing w:after="0" w:line="240" w:lineRule="auto"/>
        <w:contextualSpacing/>
        <w:rPr>
          <w:rFonts w:eastAsia="Calibri" w:cstheme="minorHAnsi"/>
          <w:sz w:val="24"/>
          <w:szCs w:val="24"/>
        </w:rPr>
      </w:pPr>
      <w:r w:rsidRPr="00D93413">
        <w:rPr>
          <w:rFonts w:eastAsia="Calibri" w:cstheme="minorHAnsi"/>
          <w:sz w:val="24"/>
          <w:szCs w:val="24"/>
        </w:rPr>
        <w:t>Deductive / inductive reading / reasoning</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SLO 4: Read, reflect, and respond critically to a variety of texts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Annotating a text</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Capture reading strategies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Annotated bibliographies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Essay analysis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lastRenderedPageBreak/>
        <w:t>Distinguishing fact from opinion</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Journal response to texts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Inferential reading</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Creating a reverse outline</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Reading galleries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Literature circles</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Vocabulary in context</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Distinguishing tone</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Rhetorical occasion / tone</w:t>
      </w:r>
    </w:p>
    <w:p w:rsidR="00D93413" w:rsidRPr="00D93413" w:rsidRDefault="00D93413" w:rsidP="00D93413">
      <w:pPr>
        <w:numPr>
          <w:ilvl w:val="0"/>
          <w:numId w:val="7"/>
        </w:numPr>
        <w:spacing w:after="0" w:line="240" w:lineRule="auto"/>
        <w:contextualSpacing/>
        <w:rPr>
          <w:rFonts w:eastAsia="Calibri" w:cstheme="minorHAnsi"/>
          <w:sz w:val="24"/>
          <w:szCs w:val="24"/>
        </w:rPr>
      </w:pPr>
      <w:r w:rsidRPr="00D93413">
        <w:rPr>
          <w:rFonts w:eastAsia="Calibri" w:cstheme="minorHAnsi"/>
          <w:sz w:val="24"/>
          <w:szCs w:val="24"/>
        </w:rPr>
        <w:t>Research strategies</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Calibri" w:cstheme="minorHAnsi"/>
          <w:sz w:val="24"/>
          <w:szCs w:val="24"/>
        </w:rPr>
      </w:pPr>
      <w:r w:rsidRPr="00D93413">
        <w:rPr>
          <w:rFonts w:eastAsia="Calibri" w:cstheme="minorHAnsi"/>
          <w:sz w:val="24"/>
          <w:szCs w:val="24"/>
        </w:rPr>
        <w:t>SLO 5: Use Edited American English in academic essays</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Research format and documentation</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Editing exercises</w:t>
      </w:r>
    </w:p>
    <w:p w:rsidR="00D93413" w:rsidRPr="00D93413" w:rsidRDefault="00D93413" w:rsidP="00D93413">
      <w:pPr>
        <w:numPr>
          <w:ilvl w:val="0"/>
          <w:numId w:val="8"/>
        </w:numPr>
        <w:spacing w:after="0" w:line="240" w:lineRule="auto"/>
        <w:contextualSpacing/>
        <w:rPr>
          <w:rFonts w:eastAsia="Calibri" w:cstheme="minorHAnsi"/>
          <w:sz w:val="24"/>
          <w:szCs w:val="24"/>
        </w:rPr>
      </w:pPr>
      <w:proofErr w:type="spellStart"/>
      <w:r w:rsidRPr="00D93413">
        <w:rPr>
          <w:rFonts w:eastAsia="Calibri" w:cstheme="minorHAnsi"/>
          <w:sz w:val="24"/>
          <w:szCs w:val="24"/>
        </w:rPr>
        <w:t>NoRedInk</w:t>
      </w:r>
      <w:proofErr w:type="spellEnd"/>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Sample essays</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Peer review</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Direct teach punctuation / grammar</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Purdue OWL or similar sites</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Rhetorical grammar</w:t>
      </w:r>
    </w:p>
    <w:p w:rsidR="00D93413" w:rsidRPr="00D93413" w:rsidRDefault="00D93413" w:rsidP="00D93413">
      <w:pPr>
        <w:numPr>
          <w:ilvl w:val="0"/>
          <w:numId w:val="8"/>
        </w:numPr>
        <w:spacing w:after="0" w:line="240" w:lineRule="auto"/>
        <w:contextualSpacing/>
        <w:rPr>
          <w:rFonts w:eastAsia="Calibri" w:cstheme="minorHAnsi"/>
          <w:sz w:val="24"/>
          <w:szCs w:val="24"/>
        </w:rPr>
      </w:pPr>
      <w:r w:rsidRPr="00D93413">
        <w:rPr>
          <w:rFonts w:eastAsia="Calibri" w:cstheme="minorHAnsi"/>
          <w:sz w:val="24"/>
          <w:szCs w:val="24"/>
        </w:rPr>
        <w:t xml:space="preserve">McGuire Readability Approach / 5 rules for readability </w:t>
      </w: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spacing w:after="0" w:line="240" w:lineRule="auto"/>
        <w:rPr>
          <w:rFonts w:eastAsia="Times New Roman" w:cstheme="minorHAnsi"/>
          <w:sz w:val="24"/>
          <w:szCs w:val="24"/>
        </w:rPr>
      </w:pPr>
    </w:p>
    <w:p w:rsidR="00D93413" w:rsidRPr="00D93413" w:rsidRDefault="00D93413" w:rsidP="00D93413">
      <w:pPr>
        <w:spacing w:after="0" w:line="240" w:lineRule="auto"/>
        <w:rPr>
          <w:rFonts w:eastAsia="Calibri" w:cstheme="minorHAnsi"/>
          <w:sz w:val="24"/>
          <w:szCs w:val="24"/>
        </w:rPr>
      </w:pPr>
    </w:p>
    <w:p w:rsidR="00D93413" w:rsidRPr="00D93413" w:rsidRDefault="00D93413" w:rsidP="00D93413">
      <w:pPr>
        <w:rPr>
          <w:rFonts w:cstheme="minorHAnsi"/>
          <w:sz w:val="24"/>
          <w:szCs w:val="24"/>
        </w:rPr>
      </w:pPr>
    </w:p>
    <w:p w:rsidR="00DC5C27" w:rsidRDefault="00DC5C27"/>
    <w:sectPr w:rsidR="00DC5C27" w:rsidSect="00CD33FB">
      <w:headerReference w:type="even" r:id="rId25"/>
      <w:headerReference w:type="default" r:id="rId26"/>
      <w:headerReference w:type="first" r:id="rId2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D9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D9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1" w:rsidRDefault="00D902ED" w:rsidP="00CD33FB">
    <w:pPr>
      <w:pStyle w:val="Header"/>
      <w:jc w:val="center"/>
    </w:pPr>
    <w:r>
      <w:rPr>
        <w:noProof/>
      </w:rPr>
      <w:drawing>
        <wp:inline distT="0" distB="0" distL="0" distR="0" wp14:anchorId="70FF190B" wp14:editId="0570AD6A">
          <wp:extent cx="913765" cy="658495"/>
          <wp:effectExtent l="0" t="0" r="635" b="8255"/>
          <wp:docPr id="2" name="Picture 2"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658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5AE6"/>
    <w:multiLevelType w:val="hybridMultilevel"/>
    <w:tmpl w:val="0006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AA71A0"/>
    <w:multiLevelType w:val="hybridMultilevel"/>
    <w:tmpl w:val="D066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B06258"/>
    <w:multiLevelType w:val="hybridMultilevel"/>
    <w:tmpl w:val="4F0A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6">
    <w:nsid w:val="68BC390B"/>
    <w:multiLevelType w:val="hybridMultilevel"/>
    <w:tmpl w:val="210E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D50510"/>
    <w:multiLevelType w:val="hybridMultilevel"/>
    <w:tmpl w:val="C97C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13"/>
    <w:rsid w:val="00D902ED"/>
    <w:rsid w:val="00D93413"/>
    <w:rsid w:val="00DC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34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413"/>
  </w:style>
  <w:style w:type="character" w:customStyle="1" w:styleId="Heading2Char">
    <w:name w:val="Heading 2 Char"/>
    <w:basedOn w:val="DefaultParagraphFont"/>
    <w:link w:val="Heading2"/>
    <w:uiPriority w:val="9"/>
    <w:semiHidden/>
    <w:rsid w:val="00D9341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3413"/>
    <w:rPr>
      <w:color w:val="0000FF" w:themeColor="hyperlink"/>
      <w:u w:val="single"/>
    </w:rPr>
  </w:style>
  <w:style w:type="paragraph" w:styleId="BalloonText">
    <w:name w:val="Balloon Text"/>
    <w:basedOn w:val="Normal"/>
    <w:link w:val="BalloonTextChar"/>
    <w:uiPriority w:val="99"/>
    <w:semiHidden/>
    <w:unhideWhenUsed/>
    <w:rsid w:val="00D9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34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413"/>
  </w:style>
  <w:style w:type="character" w:customStyle="1" w:styleId="Heading2Char">
    <w:name w:val="Heading 2 Char"/>
    <w:basedOn w:val="DefaultParagraphFont"/>
    <w:link w:val="Heading2"/>
    <w:uiPriority w:val="9"/>
    <w:semiHidden/>
    <w:rsid w:val="00D9341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3413"/>
    <w:rPr>
      <w:color w:val="0000FF" w:themeColor="hyperlink"/>
      <w:u w:val="single"/>
    </w:rPr>
  </w:style>
  <w:style w:type="paragraph" w:styleId="BalloonText">
    <w:name w:val="Balloon Text"/>
    <w:basedOn w:val="Normal"/>
    <w:link w:val="BalloonTextChar"/>
    <w:uiPriority w:val="99"/>
    <w:semiHidden/>
    <w:unhideWhenUsed/>
    <w:rsid w:val="00D9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s.upswing.io" TargetMode="External"/><Relationship Id="rId13" Type="http://schemas.openxmlformats.org/officeDocument/2006/relationships/hyperlink" Target="http://www.hccs.edu/support-services/disability-services/" TargetMode="External"/><Relationship Id="rId18" Type="http://schemas.openxmlformats.org/officeDocument/2006/relationships/hyperlink" Target="http://www.hccs.edu/resources-for/current-students/student-handbook/"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hccs.edu/online/" TargetMode="External"/><Relationship Id="rId7" Type="http://schemas.openxmlformats.org/officeDocument/2006/relationships/hyperlink" Target="http://learning.hccs.edu/faculty/deborah.adams" TargetMode="External"/><Relationship Id="rId12" Type="http://schemas.openxmlformats.org/officeDocument/2006/relationships/hyperlink" Target="https://eagleonline.hccs.edu" TargetMode="External"/><Relationship Id="rId17" Type="http://schemas.openxmlformats.org/officeDocument/2006/relationships/hyperlink" Target="http://ctle3.hccs.edu/alltutor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ccs.upswing.io/" TargetMode="External"/><Relationship Id="rId20" Type="http://schemas.openxmlformats.org/officeDocument/2006/relationships/hyperlink" Target="http://www.hccs.edu/resources-for/current-students/egls3-evaluate-your-professo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arning.hccs.edu/faculty/deborah.adams" TargetMode="External"/><Relationship Id="rId11" Type="http://schemas.openxmlformats.org/officeDocument/2006/relationships/hyperlink" Target="http://www.turnitin.com/en_us/training/student-training/student-quickstart-guide" TargetMode="External"/><Relationship Id="rId24" Type="http://schemas.openxmlformats.org/officeDocument/2006/relationships/hyperlink" Target="mailto:Institutional.Equity@hccs.edu" TargetMode="External"/><Relationship Id="rId5" Type="http://schemas.openxmlformats.org/officeDocument/2006/relationships/webSettings" Target="webSettings.xml"/><Relationship Id="rId15" Type="http://schemas.openxmlformats.org/officeDocument/2006/relationships/hyperlink" Target="http://library.hccs.edu/about_us/locations_hours" TargetMode="External"/><Relationship Id="rId23" Type="http://schemas.openxmlformats.org/officeDocument/2006/relationships/hyperlink" Target="mailto:institutional.equity@hccs.edu" TargetMode="External"/><Relationship Id="rId28" Type="http://schemas.openxmlformats.org/officeDocument/2006/relationships/fontTable" Target="fontTable.xml"/><Relationship Id="rId10" Type="http://schemas.openxmlformats.org/officeDocument/2006/relationships/hyperlink" Target="http://grammar.ccc.commnet.edu/grammar/powerpoint.htm" TargetMode="External"/><Relationship Id="rId19" Type="http://schemas.openxmlformats.org/officeDocument/2006/relationships/hyperlink" Target="http://www.hccs.edu/departments/police/campus-carry/campus-carry-and-open-carry-faqs/" TargetMode="External"/><Relationship Id="rId4" Type="http://schemas.openxmlformats.org/officeDocument/2006/relationships/settings" Target="settings.xml"/><Relationship Id="rId9" Type="http://schemas.openxmlformats.org/officeDocument/2006/relationships/hyperlink" Target="http://owl.english.purdue.edu/owl/resource/747/01/" TargetMode="External"/><Relationship Id="rId14" Type="http://schemas.openxmlformats.org/officeDocument/2006/relationships/hyperlink" Target="https://library.hccs.edu" TargetMode="External"/><Relationship Id="rId22" Type="http://schemas.openxmlformats.org/officeDocument/2006/relationships/hyperlink" Target="http://www.hccs.edu/media/houston-community-college/distance-education/student-services/HCC-Online-Student-Handbook.pdf"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1</cp:revision>
  <dcterms:created xsi:type="dcterms:W3CDTF">2018-08-26T21:58:00Z</dcterms:created>
  <dcterms:modified xsi:type="dcterms:W3CDTF">2018-08-26T22:18:00Z</dcterms:modified>
</cp:coreProperties>
</file>