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45423" w14:textId="77777777" w:rsidR="00113CFD" w:rsidRDefault="0050407A">
      <w:pPr>
        <w:spacing w:after="0"/>
        <w:jc w:val="center"/>
        <w:rPr>
          <w:b/>
          <w:sz w:val="32"/>
          <w:szCs w:val="32"/>
        </w:rPr>
      </w:pPr>
      <w:r>
        <w:rPr>
          <w:b/>
          <w:sz w:val="32"/>
          <w:szCs w:val="32"/>
        </w:rPr>
        <w:t>Desiree S. Wilson</w:t>
      </w:r>
    </w:p>
    <w:p w14:paraId="433CCCDD" w14:textId="77777777" w:rsidR="00113CFD" w:rsidRDefault="00113CFD">
      <w:pPr>
        <w:spacing w:after="0"/>
      </w:pPr>
      <w:bookmarkStart w:id="0" w:name="_GoBack"/>
      <w:bookmarkEnd w:id="0"/>
    </w:p>
    <w:p w14:paraId="0E8C14CD" w14:textId="77777777" w:rsidR="00113CFD" w:rsidRDefault="0050407A">
      <w:pPr>
        <w:spacing w:after="0"/>
        <w:rPr>
          <w:b/>
        </w:rPr>
      </w:pPr>
      <w:r>
        <w:rPr>
          <w:b/>
        </w:rPr>
        <w:t>Education</w:t>
      </w:r>
    </w:p>
    <w:tbl>
      <w:tblPr>
        <w:tblStyle w:val="a0"/>
        <w:tblW w:w="11016" w:type="dxa"/>
        <w:tblBorders>
          <w:top w:val="nil"/>
          <w:left w:val="nil"/>
          <w:bottom w:val="nil"/>
          <w:right w:val="nil"/>
          <w:insideH w:val="nil"/>
          <w:insideV w:val="nil"/>
        </w:tblBorders>
        <w:tblLayout w:type="fixed"/>
        <w:tblLook w:val="0400" w:firstRow="0" w:lastRow="0" w:firstColumn="0" w:lastColumn="0" w:noHBand="0" w:noVBand="1"/>
      </w:tblPr>
      <w:tblGrid>
        <w:gridCol w:w="4698"/>
        <w:gridCol w:w="3510"/>
        <w:gridCol w:w="2808"/>
      </w:tblGrid>
      <w:tr w:rsidR="00113CFD" w14:paraId="2C712F25" w14:textId="77777777">
        <w:tc>
          <w:tcPr>
            <w:tcW w:w="4698" w:type="dxa"/>
          </w:tcPr>
          <w:p w14:paraId="2F06C022" w14:textId="77777777" w:rsidR="00113CFD" w:rsidRDefault="0050407A">
            <w:r>
              <w:t>Doctorate of Philosophy in Biomedical Sciences</w:t>
            </w:r>
          </w:p>
        </w:tc>
        <w:tc>
          <w:tcPr>
            <w:tcW w:w="3510" w:type="dxa"/>
          </w:tcPr>
          <w:p w14:paraId="3105B304" w14:textId="77777777" w:rsidR="00113CFD" w:rsidRDefault="0050407A">
            <w:pPr>
              <w:jc w:val="center"/>
            </w:pPr>
            <w:r>
              <w:t>UT Health San Antonio</w:t>
            </w:r>
          </w:p>
        </w:tc>
        <w:tc>
          <w:tcPr>
            <w:tcW w:w="2808" w:type="dxa"/>
          </w:tcPr>
          <w:p w14:paraId="42B1720D" w14:textId="77777777" w:rsidR="00113CFD" w:rsidRDefault="0050407A">
            <w:r>
              <w:t>August 2011 – June 2017</w:t>
            </w:r>
          </w:p>
        </w:tc>
      </w:tr>
      <w:tr w:rsidR="00113CFD" w14:paraId="7F8280BA" w14:textId="77777777">
        <w:tc>
          <w:tcPr>
            <w:tcW w:w="4698" w:type="dxa"/>
          </w:tcPr>
          <w:p w14:paraId="0D2A70CB" w14:textId="77777777" w:rsidR="00113CFD" w:rsidRDefault="0050407A">
            <w:r>
              <w:t>Bachelor of Science in Biology</w:t>
            </w:r>
          </w:p>
        </w:tc>
        <w:tc>
          <w:tcPr>
            <w:tcW w:w="3510" w:type="dxa"/>
          </w:tcPr>
          <w:p w14:paraId="3035C0C3" w14:textId="77777777" w:rsidR="00113CFD" w:rsidRDefault="0050407A">
            <w:pPr>
              <w:jc w:val="center"/>
            </w:pPr>
            <w:r>
              <w:t>Univ. Houston-Downtown</w:t>
            </w:r>
          </w:p>
        </w:tc>
        <w:tc>
          <w:tcPr>
            <w:tcW w:w="2808" w:type="dxa"/>
          </w:tcPr>
          <w:p w14:paraId="1930C857" w14:textId="77777777" w:rsidR="00113CFD" w:rsidRDefault="0050407A">
            <w:r>
              <w:t>August 2007  – May 2011</w:t>
            </w:r>
          </w:p>
        </w:tc>
      </w:tr>
    </w:tbl>
    <w:p w14:paraId="4C915894" w14:textId="77777777" w:rsidR="00113CFD" w:rsidRDefault="00113CFD">
      <w:pPr>
        <w:spacing w:after="0"/>
      </w:pPr>
    </w:p>
    <w:p w14:paraId="7F000D17" w14:textId="77777777" w:rsidR="00113CFD" w:rsidRDefault="0050407A">
      <w:pPr>
        <w:spacing w:after="0"/>
        <w:rPr>
          <w:b/>
        </w:rPr>
      </w:pPr>
      <w:r>
        <w:rPr>
          <w:b/>
        </w:rPr>
        <w:t>Certifications</w:t>
      </w:r>
    </w:p>
    <w:tbl>
      <w:tblPr>
        <w:tblStyle w:val="a1"/>
        <w:tblW w:w="1080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760"/>
        <w:gridCol w:w="4440"/>
        <w:gridCol w:w="3600"/>
      </w:tblGrid>
      <w:tr w:rsidR="00113CFD" w14:paraId="1DAF9B72" w14:textId="77777777">
        <w:tc>
          <w:tcPr>
            <w:tcW w:w="2760" w:type="dxa"/>
            <w:shd w:val="clear" w:color="auto" w:fill="auto"/>
            <w:tcMar>
              <w:top w:w="100" w:type="dxa"/>
              <w:left w:w="100" w:type="dxa"/>
              <w:bottom w:w="100" w:type="dxa"/>
              <w:right w:w="100" w:type="dxa"/>
            </w:tcMar>
          </w:tcPr>
          <w:p w14:paraId="400317B4" w14:textId="77777777" w:rsidR="00113CFD" w:rsidRDefault="0050407A">
            <w:pPr>
              <w:spacing w:after="0" w:line="240" w:lineRule="auto"/>
              <w:rPr>
                <w:b/>
              </w:rPr>
            </w:pPr>
            <w:r>
              <w:t xml:space="preserve">Basic Life Support (BLS) </w:t>
            </w:r>
          </w:p>
        </w:tc>
        <w:tc>
          <w:tcPr>
            <w:tcW w:w="4440" w:type="dxa"/>
            <w:shd w:val="clear" w:color="auto" w:fill="auto"/>
            <w:tcMar>
              <w:top w:w="100" w:type="dxa"/>
              <w:left w:w="100" w:type="dxa"/>
              <w:bottom w:w="100" w:type="dxa"/>
              <w:right w:w="100" w:type="dxa"/>
            </w:tcMar>
          </w:tcPr>
          <w:p w14:paraId="51B1210B" w14:textId="77777777" w:rsidR="00113CFD" w:rsidRDefault="00113CFD">
            <w:pPr>
              <w:widowControl w:val="0"/>
              <w:pBdr>
                <w:top w:val="nil"/>
                <w:left w:val="nil"/>
                <w:bottom w:val="nil"/>
                <w:right w:val="nil"/>
                <w:between w:val="nil"/>
              </w:pBdr>
              <w:spacing w:after="0" w:line="240" w:lineRule="auto"/>
            </w:pPr>
          </w:p>
        </w:tc>
        <w:tc>
          <w:tcPr>
            <w:tcW w:w="3600" w:type="dxa"/>
            <w:shd w:val="clear" w:color="auto" w:fill="auto"/>
            <w:tcMar>
              <w:top w:w="100" w:type="dxa"/>
              <w:left w:w="100" w:type="dxa"/>
              <w:bottom w:w="100" w:type="dxa"/>
              <w:right w:w="100" w:type="dxa"/>
            </w:tcMar>
          </w:tcPr>
          <w:p w14:paraId="134D75DF" w14:textId="77777777" w:rsidR="00113CFD" w:rsidRDefault="0050407A">
            <w:pPr>
              <w:spacing w:after="0" w:line="240" w:lineRule="auto"/>
              <w:rPr>
                <w:b/>
              </w:rPr>
            </w:pPr>
            <w:r>
              <w:t>exp: Jan. 2020</w:t>
            </w:r>
          </w:p>
        </w:tc>
      </w:tr>
    </w:tbl>
    <w:p w14:paraId="74EB1710" w14:textId="77777777" w:rsidR="00113CFD" w:rsidRDefault="00113CFD">
      <w:pPr>
        <w:spacing w:after="0"/>
        <w:rPr>
          <w:b/>
        </w:rPr>
      </w:pPr>
    </w:p>
    <w:p w14:paraId="79E0B8EB" w14:textId="77777777" w:rsidR="00113CFD" w:rsidRDefault="0050407A">
      <w:pPr>
        <w:spacing w:after="0"/>
        <w:rPr>
          <w:b/>
        </w:rPr>
      </w:pPr>
      <w:r>
        <w:rPr>
          <w:b/>
        </w:rPr>
        <w:t>Skills</w:t>
      </w:r>
    </w:p>
    <w:tbl>
      <w:tblPr>
        <w:tblStyle w:val="a2"/>
        <w:tblW w:w="11016" w:type="dxa"/>
        <w:tblBorders>
          <w:top w:val="nil"/>
          <w:left w:val="nil"/>
          <w:bottom w:val="nil"/>
          <w:right w:val="nil"/>
          <w:insideH w:val="nil"/>
          <w:insideV w:val="nil"/>
        </w:tblBorders>
        <w:tblLayout w:type="fixed"/>
        <w:tblLook w:val="0400" w:firstRow="0" w:lastRow="0" w:firstColumn="0" w:lastColumn="0" w:noHBand="0" w:noVBand="1"/>
      </w:tblPr>
      <w:tblGrid>
        <w:gridCol w:w="2754"/>
        <w:gridCol w:w="2754"/>
        <w:gridCol w:w="2754"/>
        <w:gridCol w:w="2754"/>
      </w:tblGrid>
      <w:tr w:rsidR="00113CFD" w14:paraId="73AE8362" w14:textId="77777777">
        <w:tc>
          <w:tcPr>
            <w:tcW w:w="2754" w:type="dxa"/>
          </w:tcPr>
          <w:p w14:paraId="3D23162B" w14:textId="77777777" w:rsidR="00113CFD" w:rsidRDefault="0050407A">
            <w:r>
              <w:t>Environmental safety</w:t>
            </w:r>
          </w:p>
        </w:tc>
        <w:tc>
          <w:tcPr>
            <w:tcW w:w="2754" w:type="dxa"/>
          </w:tcPr>
          <w:p w14:paraId="061640C6" w14:textId="77777777" w:rsidR="00113CFD" w:rsidRDefault="0050407A">
            <w:r>
              <w:t>HIPAA and patient privacy</w:t>
            </w:r>
          </w:p>
        </w:tc>
        <w:tc>
          <w:tcPr>
            <w:tcW w:w="2754" w:type="dxa"/>
          </w:tcPr>
          <w:p w14:paraId="1EBF948B" w14:textId="77777777" w:rsidR="00113CFD" w:rsidRDefault="0050407A">
            <w:r>
              <w:t>CPR/First-aid certified</w:t>
            </w:r>
          </w:p>
        </w:tc>
        <w:tc>
          <w:tcPr>
            <w:tcW w:w="2754" w:type="dxa"/>
          </w:tcPr>
          <w:p w14:paraId="36B25D35" w14:textId="77777777" w:rsidR="00113CFD" w:rsidRDefault="0050407A">
            <w:r>
              <w:t>Medical records</w:t>
            </w:r>
          </w:p>
        </w:tc>
      </w:tr>
      <w:tr w:rsidR="00113CFD" w14:paraId="5D4A7708" w14:textId="77777777">
        <w:tc>
          <w:tcPr>
            <w:tcW w:w="2754" w:type="dxa"/>
          </w:tcPr>
          <w:p w14:paraId="08F32B3C" w14:textId="77777777" w:rsidR="00113CFD" w:rsidRDefault="0050407A">
            <w:r>
              <w:t>Unix/Linux</w:t>
            </w:r>
          </w:p>
        </w:tc>
        <w:tc>
          <w:tcPr>
            <w:tcW w:w="2754" w:type="dxa"/>
          </w:tcPr>
          <w:p w14:paraId="73CE4E2C" w14:textId="77777777" w:rsidR="00113CFD" w:rsidRDefault="0050407A">
            <w:r>
              <w:t>R programming</w:t>
            </w:r>
          </w:p>
        </w:tc>
        <w:tc>
          <w:tcPr>
            <w:tcW w:w="2754" w:type="dxa"/>
          </w:tcPr>
          <w:p w14:paraId="4C99E2B9" w14:textId="77777777" w:rsidR="00113CFD" w:rsidRDefault="0050407A">
            <w:r>
              <w:t>C++/Java programming</w:t>
            </w:r>
          </w:p>
        </w:tc>
        <w:tc>
          <w:tcPr>
            <w:tcW w:w="2754" w:type="dxa"/>
          </w:tcPr>
          <w:p w14:paraId="469BAD0C" w14:textId="77777777" w:rsidR="00113CFD" w:rsidRDefault="0050407A">
            <w:r>
              <w:t>Git/GitHub</w:t>
            </w:r>
          </w:p>
        </w:tc>
      </w:tr>
      <w:tr w:rsidR="00113CFD" w14:paraId="04DCAE6C" w14:textId="77777777">
        <w:tc>
          <w:tcPr>
            <w:tcW w:w="2754" w:type="dxa"/>
          </w:tcPr>
          <w:p w14:paraId="0CC5474D" w14:textId="77777777" w:rsidR="00113CFD" w:rsidRDefault="0050407A">
            <w:r>
              <w:t>Microsoft Office Suite</w:t>
            </w:r>
          </w:p>
        </w:tc>
        <w:tc>
          <w:tcPr>
            <w:tcW w:w="2754" w:type="dxa"/>
          </w:tcPr>
          <w:p w14:paraId="074CFCD7" w14:textId="77777777" w:rsidR="00113CFD" w:rsidRDefault="0050407A">
            <w:r>
              <w:t>OS: Linux/Mac/Windows</w:t>
            </w:r>
          </w:p>
        </w:tc>
        <w:tc>
          <w:tcPr>
            <w:tcW w:w="2754" w:type="dxa"/>
          </w:tcPr>
          <w:p w14:paraId="2F8C697F" w14:textId="77777777" w:rsidR="00113CFD" w:rsidRDefault="0050407A">
            <w:r>
              <w:t>iPhone + Android</w:t>
            </w:r>
          </w:p>
        </w:tc>
        <w:tc>
          <w:tcPr>
            <w:tcW w:w="2754" w:type="dxa"/>
          </w:tcPr>
          <w:p w14:paraId="38B7F91D" w14:textId="77777777" w:rsidR="00113CFD" w:rsidRDefault="0050407A">
            <w:r>
              <w:t>Technology</w:t>
            </w:r>
          </w:p>
        </w:tc>
      </w:tr>
      <w:tr w:rsidR="00113CFD" w14:paraId="2159FA2A" w14:textId="77777777">
        <w:tc>
          <w:tcPr>
            <w:tcW w:w="2754" w:type="dxa"/>
          </w:tcPr>
          <w:p w14:paraId="211C1364" w14:textId="77777777" w:rsidR="00113CFD" w:rsidRDefault="0050407A">
            <w:r>
              <w:t>Next-gen seq. analysis</w:t>
            </w:r>
          </w:p>
        </w:tc>
        <w:tc>
          <w:tcPr>
            <w:tcW w:w="2754" w:type="dxa"/>
          </w:tcPr>
          <w:p w14:paraId="4D20B8F8" w14:textId="77777777" w:rsidR="00113CFD" w:rsidRDefault="0050407A">
            <w:r>
              <w:t>Health informatics analysis</w:t>
            </w:r>
          </w:p>
        </w:tc>
        <w:tc>
          <w:tcPr>
            <w:tcW w:w="2754" w:type="dxa"/>
          </w:tcPr>
          <w:p w14:paraId="7B64F388" w14:textId="77777777" w:rsidR="00113CFD" w:rsidRDefault="0050407A">
            <w:r>
              <w:t>Data analysis</w:t>
            </w:r>
          </w:p>
        </w:tc>
        <w:tc>
          <w:tcPr>
            <w:tcW w:w="2754" w:type="dxa"/>
          </w:tcPr>
          <w:p w14:paraId="6ADFA8C2" w14:textId="77777777" w:rsidR="00113CFD" w:rsidRDefault="0050407A">
            <w:r>
              <w:t>Research</w:t>
            </w:r>
          </w:p>
        </w:tc>
      </w:tr>
      <w:tr w:rsidR="00113CFD" w14:paraId="02E5DA11" w14:textId="77777777">
        <w:tc>
          <w:tcPr>
            <w:tcW w:w="2754" w:type="dxa"/>
          </w:tcPr>
          <w:p w14:paraId="13DECF17" w14:textId="77777777" w:rsidR="00113CFD" w:rsidRDefault="0050407A">
            <w:r>
              <w:t>DNA/RNA/Protein isolation</w:t>
            </w:r>
          </w:p>
        </w:tc>
        <w:tc>
          <w:tcPr>
            <w:tcW w:w="2754" w:type="dxa"/>
          </w:tcPr>
          <w:p w14:paraId="65BB50D0" w14:textId="77777777" w:rsidR="00113CFD" w:rsidRDefault="0050407A">
            <w:r>
              <w:t>ELISA</w:t>
            </w:r>
          </w:p>
        </w:tc>
        <w:tc>
          <w:tcPr>
            <w:tcW w:w="2754" w:type="dxa"/>
          </w:tcPr>
          <w:p w14:paraId="5E1822E3" w14:textId="77777777" w:rsidR="00113CFD" w:rsidRDefault="0050407A">
            <w:r>
              <w:t>Immunoblotting</w:t>
            </w:r>
          </w:p>
        </w:tc>
        <w:tc>
          <w:tcPr>
            <w:tcW w:w="2754" w:type="dxa"/>
          </w:tcPr>
          <w:p w14:paraId="5EFF4ACF" w14:textId="77777777" w:rsidR="00113CFD" w:rsidRDefault="0050407A">
            <w:r>
              <w:t>Immunohistochemistry</w:t>
            </w:r>
          </w:p>
        </w:tc>
      </w:tr>
      <w:tr w:rsidR="00113CFD" w14:paraId="387B4A73" w14:textId="77777777">
        <w:tc>
          <w:tcPr>
            <w:tcW w:w="2754" w:type="dxa"/>
          </w:tcPr>
          <w:p w14:paraId="46EB831C" w14:textId="77777777" w:rsidR="00113CFD" w:rsidRDefault="0050407A">
            <w:r>
              <w:t>Polymerase chain reaction</w:t>
            </w:r>
          </w:p>
        </w:tc>
        <w:tc>
          <w:tcPr>
            <w:tcW w:w="2754" w:type="dxa"/>
          </w:tcPr>
          <w:p w14:paraId="5411A735" w14:textId="77777777" w:rsidR="00113CFD" w:rsidRDefault="0050407A">
            <w:r>
              <w:t>Basic cell culture</w:t>
            </w:r>
          </w:p>
        </w:tc>
        <w:tc>
          <w:tcPr>
            <w:tcW w:w="2754" w:type="dxa"/>
          </w:tcPr>
          <w:p w14:paraId="44488B86" w14:textId="77777777" w:rsidR="00113CFD" w:rsidRDefault="0050407A">
            <w:r>
              <w:t>Cell transfection</w:t>
            </w:r>
          </w:p>
        </w:tc>
        <w:tc>
          <w:tcPr>
            <w:tcW w:w="2754" w:type="dxa"/>
          </w:tcPr>
          <w:p w14:paraId="2E1D6368" w14:textId="77777777" w:rsidR="00113CFD" w:rsidRDefault="0050407A">
            <w:r>
              <w:t>Genotyping</w:t>
            </w:r>
          </w:p>
        </w:tc>
      </w:tr>
      <w:tr w:rsidR="00113CFD" w14:paraId="7E1FBF24" w14:textId="77777777">
        <w:tc>
          <w:tcPr>
            <w:tcW w:w="2754" w:type="dxa"/>
          </w:tcPr>
          <w:p w14:paraId="6CE3E40F" w14:textId="77777777" w:rsidR="00113CFD" w:rsidRDefault="0050407A">
            <w:r>
              <w:t>Team player</w:t>
            </w:r>
          </w:p>
        </w:tc>
        <w:tc>
          <w:tcPr>
            <w:tcW w:w="2754" w:type="dxa"/>
          </w:tcPr>
          <w:p w14:paraId="7DB0FBD2" w14:textId="77777777" w:rsidR="00113CFD" w:rsidRDefault="0050407A">
            <w:r>
              <w:t>Strong organizational skills</w:t>
            </w:r>
          </w:p>
        </w:tc>
        <w:tc>
          <w:tcPr>
            <w:tcW w:w="2754" w:type="dxa"/>
          </w:tcPr>
          <w:p w14:paraId="09B9A88B" w14:textId="77777777" w:rsidR="00113CFD" w:rsidRDefault="0050407A">
            <w:r>
              <w:t>Willingness to learn</w:t>
            </w:r>
          </w:p>
        </w:tc>
        <w:tc>
          <w:tcPr>
            <w:tcW w:w="2754" w:type="dxa"/>
          </w:tcPr>
          <w:p w14:paraId="32839CB6" w14:textId="77777777" w:rsidR="00113CFD" w:rsidRDefault="0050407A">
            <w:r>
              <w:t>Patient satisfaction</w:t>
            </w:r>
          </w:p>
        </w:tc>
      </w:tr>
    </w:tbl>
    <w:p w14:paraId="22F4BDCB" w14:textId="77777777" w:rsidR="00113CFD" w:rsidRDefault="00113CFD">
      <w:pPr>
        <w:spacing w:after="0"/>
      </w:pPr>
    </w:p>
    <w:p w14:paraId="2221D603" w14:textId="77777777" w:rsidR="00113CFD" w:rsidRDefault="0050407A">
      <w:pPr>
        <w:spacing w:after="0"/>
        <w:rPr>
          <w:b/>
        </w:rPr>
      </w:pPr>
      <w:r>
        <w:rPr>
          <w:b/>
        </w:rPr>
        <w:t>Work Experience</w:t>
      </w:r>
    </w:p>
    <w:tbl>
      <w:tblPr>
        <w:tblStyle w:val="a3"/>
        <w:tblW w:w="11016" w:type="dxa"/>
        <w:tblBorders>
          <w:top w:val="nil"/>
          <w:left w:val="nil"/>
          <w:bottom w:val="nil"/>
          <w:right w:val="nil"/>
          <w:insideH w:val="nil"/>
          <w:insideV w:val="nil"/>
        </w:tblBorders>
        <w:tblLayout w:type="fixed"/>
        <w:tblLook w:val="0400" w:firstRow="0" w:lastRow="0" w:firstColumn="0" w:lastColumn="0" w:noHBand="0" w:noVBand="1"/>
      </w:tblPr>
      <w:tblGrid>
        <w:gridCol w:w="3078"/>
        <w:gridCol w:w="4266"/>
        <w:gridCol w:w="3672"/>
      </w:tblGrid>
      <w:tr w:rsidR="003666AF" w14:paraId="54B28021" w14:textId="77777777">
        <w:tc>
          <w:tcPr>
            <w:tcW w:w="3078" w:type="dxa"/>
            <w:tcBorders>
              <w:bottom w:val="single" w:sz="24" w:space="0" w:color="000000"/>
            </w:tcBorders>
            <w:vAlign w:val="bottom"/>
          </w:tcPr>
          <w:p w14:paraId="071BEC96" w14:textId="77777777" w:rsidR="003666AF" w:rsidRDefault="003666AF" w:rsidP="003666AF">
            <w:r>
              <w:t>Postdoctoral research fellow</w:t>
            </w:r>
          </w:p>
        </w:tc>
        <w:tc>
          <w:tcPr>
            <w:tcW w:w="4266" w:type="dxa"/>
            <w:tcBorders>
              <w:bottom w:val="single" w:sz="24" w:space="0" w:color="000000"/>
            </w:tcBorders>
            <w:vAlign w:val="bottom"/>
          </w:tcPr>
          <w:p w14:paraId="554FF282" w14:textId="77777777" w:rsidR="003666AF" w:rsidRDefault="003666AF" w:rsidP="003666AF">
            <w:pPr>
              <w:jc w:val="center"/>
            </w:pPr>
            <w:r>
              <w:t>UT Health San Antonio, San Antonio, TX</w:t>
            </w:r>
          </w:p>
        </w:tc>
        <w:tc>
          <w:tcPr>
            <w:tcW w:w="3672" w:type="dxa"/>
            <w:tcBorders>
              <w:bottom w:val="single" w:sz="24" w:space="0" w:color="000000"/>
            </w:tcBorders>
            <w:vAlign w:val="bottom"/>
          </w:tcPr>
          <w:p w14:paraId="77175205" w14:textId="67B9B2A7" w:rsidR="003666AF" w:rsidRDefault="003666AF" w:rsidP="003666AF">
            <w:pPr>
              <w:jc w:val="right"/>
            </w:pPr>
            <w:r>
              <w:t xml:space="preserve">September 2018 – </w:t>
            </w:r>
            <w:r w:rsidR="009A564E">
              <w:t>August 2019</w:t>
            </w:r>
          </w:p>
        </w:tc>
      </w:tr>
      <w:tr w:rsidR="003666AF" w14:paraId="5C57E21A" w14:textId="77777777" w:rsidTr="003666AF">
        <w:trPr>
          <w:trHeight w:val="537"/>
        </w:trPr>
        <w:tc>
          <w:tcPr>
            <w:tcW w:w="11016" w:type="dxa"/>
            <w:gridSpan w:val="3"/>
            <w:tcBorders>
              <w:top w:val="single" w:sz="24" w:space="0" w:color="000000"/>
              <w:bottom w:val="nil"/>
            </w:tcBorders>
          </w:tcPr>
          <w:p w14:paraId="5EEA44A2" w14:textId="751DC4D0" w:rsidR="003666AF" w:rsidRDefault="009A564E" w:rsidP="003666AF">
            <w:r>
              <w:t xml:space="preserve">The goal for this project was to identify novel genes directly involved in amelogenesis. I isolated enamel organ epithelial tissue from post mortem C57BL/6 mouse pups from day 0, 2, 5 and 11. After I isolated the RNA from these tissues, the RNA samples were sent to the RNA sequencing core. I used </w:t>
            </w:r>
            <w:proofErr w:type="spellStart"/>
            <w:r>
              <w:t>Samtools</w:t>
            </w:r>
            <w:proofErr w:type="spellEnd"/>
            <w:r>
              <w:t xml:space="preserve">, </w:t>
            </w:r>
            <w:proofErr w:type="spellStart"/>
            <w:r>
              <w:t>FastQC</w:t>
            </w:r>
            <w:proofErr w:type="spellEnd"/>
            <w:r>
              <w:t xml:space="preserve">, </w:t>
            </w:r>
            <w:proofErr w:type="spellStart"/>
            <w:r>
              <w:t>cutadapt</w:t>
            </w:r>
            <w:proofErr w:type="spellEnd"/>
            <w:r>
              <w:t>, HT-</w:t>
            </w:r>
            <w:proofErr w:type="spellStart"/>
            <w:r>
              <w:t>Seq</w:t>
            </w:r>
            <w:proofErr w:type="spellEnd"/>
            <w:r>
              <w:t xml:space="preserve">, and DESeq2 to identify genes differentially expressed at these different developmental time points during amelogenesis (day 0, 2, 5 and 11). Lastly, GSEA and </w:t>
            </w:r>
            <w:proofErr w:type="spellStart"/>
            <w:r>
              <w:t>TopGO</w:t>
            </w:r>
            <w:proofErr w:type="spellEnd"/>
            <w:r>
              <w:t xml:space="preserve"> were used to identify enriched pathways and GO terms.</w:t>
            </w:r>
          </w:p>
        </w:tc>
      </w:tr>
      <w:tr w:rsidR="003666AF" w14:paraId="03B2C155" w14:textId="77777777" w:rsidTr="003666AF">
        <w:tc>
          <w:tcPr>
            <w:tcW w:w="3078" w:type="dxa"/>
            <w:tcBorders>
              <w:top w:val="nil"/>
              <w:left w:val="nil"/>
              <w:bottom w:val="nil"/>
              <w:right w:val="nil"/>
            </w:tcBorders>
          </w:tcPr>
          <w:p w14:paraId="3289E4D3" w14:textId="77777777" w:rsidR="003666AF" w:rsidRDefault="003666AF" w:rsidP="003666AF"/>
        </w:tc>
        <w:tc>
          <w:tcPr>
            <w:tcW w:w="4266" w:type="dxa"/>
            <w:tcBorders>
              <w:top w:val="nil"/>
              <w:left w:val="nil"/>
              <w:bottom w:val="nil"/>
              <w:right w:val="nil"/>
            </w:tcBorders>
          </w:tcPr>
          <w:p w14:paraId="6F1C4346" w14:textId="77777777" w:rsidR="003666AF" w:rsidRDefault="003666AF" w:rsidP="003666AF">
            <w:pPr>
              <w:jc w:val="center"/>
            </w:pPr>
          </w:p>
        </w:tc>
        <w:tc>
          <w:tcPr>
            <w:tcW w:w="3672" w:type="dxa"/>
            <w:tcBorders>
              <w:top w:val="nil"/>
              <w:left w:val="nil"/>
              <w:bottom w:val="nil"/>
              <w:right w:val="nil"/>
            </w:tcBorders>
          </w:tcPr>
          <w:p w14:paraId="2A4DBF5B" w14:textId="77777777" w:rsidR="003666AF" w:rsidRDefault="003666AF" w:rsidP="003666AF">
            <w:pPr>
              <w:jc w:val="right"/>
            </w:pPr>
          </w:p>
        </w:tc>
      </w:tr>
      <w:tr w:rsidR="003666AF" w14:paraId="0CDE44CC" w14:textId="77777777" w:rsidTr="003666AF">
        <w:tc>
          <w:tcPr>
            <w:tcW w:w="3078" w:type="dxa"/>
            <w:tcBorders>
              <w:top w:val="nil"/>
              <w:bottom w:val="single" w:sz="24" w:space="0" w:color="000000"/>
            </w:tcBorders>
            <w:vAlign w:val="bottom"/>
          </w:tcPr>
          <w:p w14:paraId="7BAF80FD" w14:textId="77777777" w:rsidR="003666AF" w:rsidRDefault="003666AF" w:rsidP="003666AF">
            <w:bookmarkStart w:id="1" w:name="_Hlk7698775"/>
            <w:r>
              <w:t>Postdoctoral research fellow</w:t>
            </w:r>
          </w:p>
        </w:tc>
        <w:tc>
          <w:tcPr>
            <w:tcW w:w="4266" w:type="dxa"/>
            <w:tcBorders>
              <w:top w:val="nil"/>
              <w:bottom w:val="single" w:sz="24" w:space="0" w:color="000000"/>
            </w:tcBorders>
            <w:vAlign w:val="bottom"/>
          </w:tcPr>
          <w:p w14:paraId="16F46312" w14:textId="77777777" w:rsidR="003666AF" w:rsidRDefault="003666AF" w:rsidP="003666AF">
            <w:pPr>
              <w:jc w:val="center"/>
            </w:pPr>
            <w:r>
              <w:t>UT Health San Antonio, San Antonio, TX</w:t>
            </w:r>
          </w:p>
        </w:tc>
        <w:tc>
          <w:tcPr>
            <w:tcW w:w="3672" w:type="dxa"/>
            <w:tcBorders>
              <w:top w:val="nil"/>
              <w:bottom w:val="single" w:sz="24" w:space="0" w:color="000000"/>
            </w:tcBorders>
            <w:vAlign w:val="bottom"/>
          </w:tcPr>
          <w:p w14:paraId="38897870" w14:textId="77777777" w:rsidR="003666AF" w:rsidRDefault="003666AF" w:rsidP="003666AF">
            <w:pPr>
              <w:jc w:val="right"/>
            </w:pPr>
            <w:r>
              <w:t>June 2017 – August 2018</w:t>
            </w:r>
          </w:p>
        </w:tc>
      </w:tr>
      <w:tr w:rsidR="003666AF" w14:paraId="0959C405" w14:textId="77777777">
        <w:tc>
          <w:tcPr>
            <w:tcW w:w="11016" w:type="dxa"/>
            <w:gridSpan w:val="3"/>
            <w:tcBorders>
              <w:top w:val="single" w:sz="24" w:space="0" w:color="000000"/>
            </w:tcBorders>
          </w:tcPr>
          <w:p w14:paraId="4601ECFF" w14:textId="0B8BC220" w:rsidR="003666AF" w:rsidRDefault="00303174" w:rsidP="009A564E">
            <w:r>
              <w:t>For this project, I worked closely with a cardiovascular surgeon</w:t>
            </w:r>
            <w:r w:rsidR="003666AF">
              <w:t xml:space="preserve"> to identify social determinants associated with poor surgical outcomes in University Hospital System and Audie L. Murphy Memorial VA Hospital patients.</w:t>
            </w:r>
            <w:r w:rsidR="009A564E">
              <w:t xml:space="preserve"> </w:t>
            </w:r>
            <w:r>
              <w:t>Using SQL, I q</w:t>
            </w:r>
            <w:r w:rsidR="009A564E">
              <w:t>ueried Sunrise and CPRS electronic medical records databases to retrieve 11,000+ medical records. Using ArcGIS and R, I linked US Census socioeconomic data to 11,000+ electronic medical records. In R, I built a</w:t>
            </w:r>
            <w:r>
              <w:t xml:space="preserve"> </w:t>
            </w:r>
            <w:r w:rsidR="009A564E">
              <w:t>statistical model that incorporated US Census socioeconomic data to</w:t>
            </w:r>
            <w:r>
              <w:t xml:space="preserve"> </w:t>
            </w:r>
            <w:r w:rsidR="009A564E">
              <w:t>identify variables in the US Census data associated with frailty. My efforts</w:t>
            </w:r>
            <w:r>
              <w:t xml:space="preserve"> </w:t>
            </w:r>
            <w:r w:rsidR="009A564E">
              <w:t>resulted in a $3 million grant from NIH.</w:t>
            </w:r>
          </w:p>
          <w:p w14:paraId="52EDD6E4" w14:textId="77777777" w:rsidR="003666AF" w:rsidRDefault="003666AF" w:rsidP="003666AF"/>
        </w:tc>
      </w:tr>
      <w:bookmarkEnd w:id="1"/>
      <w:tr w:rsidR="003666AF" w14:paraId="0A1E2DF3" w14:textId="77777777">
        <w:tc>
          <w:tcPr>
            <w:tcW w:w="3078" w:type="dxa"/>
            <w:tcBorders>
              <w:bottom w:val="single" w:sz="24" w:space="0" w:color="000000"/>
            </w:tcBorders>
          </w:tcPr>
          <w:p w14:paraId="53C1A977" w14:textId="77777777" w:rsidR="003666AF" w:rsidRDefault="003666AF" w:rsidP="003666AF">
            <w:r>
              <w:t>Graduate research assistant</w:t>
            </w:r>
          </w:p>
        </w:tc>
        <w:tc>
          <w:tcPr>
            <w:tcW w:w="4266" w:type="dxa"/>
            <w:tcBorders>
              <w:bottom w:val="single" w:sz="24" w:space="0" w:color="000000"/>
            </w:tcBorders>
          </w:tcPr>
          <w:p w14:paraId="478F162B" w14:textId="77777777" w:rsidR="003666AF" w:rsidRDefault="003666AF" w:rsidP="003666AF">
            <w:pPr>
              <w:jc w:val="center"/>
            </w:pPr>
            <w:r>
              <w:t>UT Health San Antonio, San Antonio, TX</w:t>
            </w:r>
          </w:p>
        </w:tc>
        <w:tc>
          <w:tcPr>
            <w:tcW w:w="3672" w:type="dxa"/>
            <w:tcBorders>
              <w:bottom w:val="single" w:sz="24" w:space="0" w:color="000000"/>
            </w:tcBorders>
          </w:tcPr>
          <w:p w14:paraId="57524497" w14:textId="77777777" w:rsidR="003666AF" w:rsidRDefault="003666AF" w:rsidP="003666AF">
            <w:pPr>
              <w:jc w:val="right"/>
            </w:pPr>
            <w:r>
              <w:t>August 2011 – June 2017</w:t>
            </w:r>
          </w:p>
        </w:tc>
      </w:tr>
      <w:tr w:rsidR="003666AF" w14:paraId="50FA130C" w14:textId="77777777">
        <w:tc>
          <w:tcPr>
            <w:tcW w:w="11016" w:type="dxa"/>
            <w:gridSpan w:val="3"/>
            <w:tcBorders>
              <w:top w:val="single" w:sz="24" w:space="0" w:color="000000"/>
            </w:tcBorders>
          </w:tcPr>
          <w:p w14:paraId="42D575A1" w14:textId="047EC7DA" w:rsidR="003666AF" w:rsidRDefault="00303174" w:rsidP="00303174">
            <w:r>
              <w:t xml:space="preserve">During my PhD graduate years, I worked with Drs. Ian Thompson and Robin Leach on identifying gene expression differences between men with metastatic prostate cancer and men who are in remission for prostate cancer post-prostatectomy. </w:t>
            </w:r>
            <w:r w:rsidR="00533DAE">
              <w:t xml:space="preserve">I isolated RNA and DNA from frozen prostatectomy samples. Illumina microarray was used for whole transcriptome analysis. GWAS was performed on DNA and I isolated methylated regions in the DNA to perform </w:t>
            </w:r>
            <w:proofErr w:type="spellStart"/>
            <w:r w:rsidR="00533DAE">
              <w:t>MBDcap</w:t>
            </w:r>
            <w:proofErr w:type="spellEnd"/>
            <w:r w:rsidR="00533DAE">
              <w:t xml:space="preserve"> sequencing. </w:t>
            </w:r>
            <w:r>
              <w:t>Using R</w:t>
            </w:r>
            <w:r w:rsidR="00533DAE">
              <w:t xml:space="preserve"> on the RNA data</w:t>
            </w:r>
            <w:r>
              <w:t>, we identified 28 genes significantly different between remission vs metastatic prostate cancer patient groups. Project resulted in publications as well as federal funding from NIH.</w:t>
            </w:r>
            <w:r w:rsidR="00533DAE">
              <w:t xml:space="preserve"> Additionally, we found two SNPs associated with Gleason in our preliminary GWAS data. Regarding the </w:t>
            </w:r>
            <w:proofErr w:type="spellStart"/>
            <w:r w:rsidR="00533DAE">
              <w:t>MBDcap</w:t>
            </w:r>
            <w:proofErr w:type="spellEnd"/>
            <w:r w:rsidR="00533DAE">
              <w:t xml:space="preserve"> sequencing data,</w:t>
            </w:r>
            <w:r w:rsidR="00F873C4">
              <w:t xml:space="preserve"> we created</w:t>
            </w:r>
            <w:r w:rsidR="00533DAE">
              <w:t xml:space="preserve"> </w:t>
            </w:r>
            <w:r w:rsidR="00F873C4">
              <w:t xml:space="preserve">a new tool to analyze </w:t>
            </w:r>
            <w:proofErr w:type="spellStart"/>
            <w:r w:rsidR="00F873C4">
              <w:t>MBDCap</w:t>
            </w:r>
            <w:proofErr w:type="spellEnd"/>
            <w:r w:rsidR="00F873C4">
              <w:t xml:space="preserve"> sequencing data.</w:t>
            </w:r>
          </w:p>
          <w:p w14:paraId="120E7DBA" w14:textId="77777777" w:rsidR="003666AF" w:rsidRDefault="003666AF" w:rsidP="003666AF"/>
        </w:tc>
      </w:tr>
      <w:tr w:rsidR="003666AF" w14:paraId="6B362EC6" w14:textId="77777777">
        <w:tc>
          <w:tcPr>
            <w:tcW w:w="3078" w:type="dxa"/>
            <w:tcBorders>
              <w:bottom w:val="single" w:sz="24" w:space="0" w:color="000000"/>
            </w:tcBorders>
            <w:vAlign w:val="bottom"/>
          </w:tcPr>
          <w:p w14:paraId="24B9A255" w14:textId="77777777" w:rsidR="003666AF" w:rsidRDefault="003666AF" w:rsidP="003666AF">
            <w:r>
              <w:t>Undergrad research assistant</w:t>
            </w:r>
          </w:p>
        </w:tc>
        <w:tc>
          <w:tcPr>
            <w:tcW w:w="4266" w:type="dxa"/>
            <w:tcBorders>
              <w:bottom w:val="single" w:sz="24" w:space="0" w:color="000000"/>
            </w:tcBorders>
            <w:vAlign w:val="bottom"/>
          </w:tcPr>
          <w:p w14:paraId="00954ABC" w14:textId="77777777" w:rsidR="003666AF" w:rsidRDefault="003666AF" w:rsidP="003666AF">
            <w:pPr>
              <w:jc w:val="center"/>
            </w:pPr>
            <w:r>
              <w:t>MD Anderson, Houston, TX</w:t>
            </w:r>
          </w:p>
        </w:tc>
        <w:tc>
          <w:tcPr>
            <w:tcW w:w="3672" w:type="dxa"/>
            <w:tcBorders>
              <w:bottom w:val="single" w:sz="24" w:space="0" w:color="000000"/>
            </w:tcBorders>
            <w:vAlign w:val="bottom"/>
          </w:tcPr>
          <w:p w14:paraId="7A60B615" w14:textId="77777777" w:rsidR="003666AF" w:rsidRDefault="003666AF" w:rsidP="003666AF">
            <w:pPr>
              <w:jc w:val="right"/>
            </w:pPr>
            <w:r>
              <w:t xml:space="preserve">January 2011–July 2011 </w:t>
            </w:r>
          </w:p>
        </w:tc>
      </w:tr>
      <w:tr w:rsidR="003666AF" w14:paraId="6F6480D0" w14:textId="77777777">
        <w:tc>
          <w:tcPr>
            <w:tcW w:w="11016" w:type="dxa"/>
            <w:gridSpan w:val="3"/>
            <w:tcBorders>
              <w:top w:val="single" w:sz="24" w:space="0" w:color="000000"/>
            </w:tcBorders>
          </w:tcPr>
          <w:p w14:paraId="599E3CCA" w14:textId="77777777" w:rsidR="003666AF" w:rsidRDefault="003666AF" w:rsidP="00303174">
            <w:r>
              <w:t>Investigated miRNA regulation of IGF1R expression.</w:t>
            </w:r>
            <w:r w:rsidR="00303174">
              <w:t xml:space="preserve"> Using immunoblotting, PCR, </w:t>
            </w:r>
            <w:proofErr w:type="spellStart"/>
            <w:r w:rsidR="00303174">
              <w:t>ChIP</w:t>
            </w:r>
            <w:proofErr w:type="spellEnd"/>
            <w:r w:rsidR="00303174">
              <w:t xml:space="preserve">, cell transfection, I worked with Dr. Hesham Amin and we investigated the regulation of IGF-IR and IGF-IIR in the insulin-like growth factor system of lymphoma and leukemia cell lines. No IGF2R mutations were discovered in these cell lines. Results of these projects were published in peer-reviewed journals. </w:t>
            </w:r>
          </w:p>
          <w:p w14:paraId="4EDF80FE" w14:textId="67A90128" w:rsidR="00303174" w:rsidRDefault="00303174" w:rsidP="00303174"/>
        </w:tc>
      </w:tr>
      <w:tr w:rsidR="003666AF" w14:paraId="48C8CDF1" w14:textId="77777777">
        <w:tc>
          <w:tcPr>
            <w:tcW w:w="3078" w:type="dxa"/>
            <w:tcBorders>
              <w:bottom w:val="single" w:sz="24" w:space="0" w:color="000000"/>
            </w:tcBorders>
            <w:vAlign w:val="bottom"/>
          </w:tcPr>
          <w:p w14:paraId="7DAEA505" w14:textId="52F603D5" w:rsidR="003666AF" w:rsidRDefault="003666AF" w:rsidP="003666AF">
            <w:r>
              <w:lastRenderedPageBreak/>
              <w:t>Undergrad research assistant</w:t>
            </w:r>
          </w:p>
        </w:tc>
        <w:tc>
          <w:tcPr>
            <w:tcW w:w="4266" w:type="dxa"/>
            <w:tcBorders>
              <w:bottom w:val="single" w:sz="24" w:space="0" w:color="000000"/>
            </w:tcBorders>
            <w:vAlign w:val="bottom"/>
          </w:tcPr>
          <w:p w14:paraId="2FFD9B97" w14:textId="77777777" w:rsidR="003666AF" w:rsidRDefault="003666AF" w:rsidP="003666AF">
            <w:pPr>
              <w:jc w:val="center"/>
            </w:pPr>
            <w:r>
              <w:t>Baylor College of Medicine, Houston, TX</w:t>
            </w:r>
          </w:p>
        </w:tc>
        <w:tc>
          <w:tcPr>
            <w:tcW w:w="3672" w:type="dxa"/>
            <w:tcBorders>
              <w:bottom w:val="single" w:sz="24" w:space="0" w:color="000000"/>
            </w:tcBorders>
            <w:vAlign w:val="bottom"/>
          </w:tcPr>
          <w:p w14:paraId="2F46C38D" w14:textId="77777777" w:rsidR="003666AF" w:rsidRDefault="003666AF" w:rsidP="003666AF">
            <w:pPr>
              <w:jc w:val="right"/>
            </w:pPr>
            <w:r>
              <w:t xml:space="preserve">August 2010 – December 2010 </w:t>
            </w:r>
          </w:p>
        </w:tc>
      </w:tr>
      <w:tr w:rsidR="003666AF" w14:paraId="54009AC2" w14:textId="77777777">
        <w:tc>
          <w:tcPr>
            <w:tcW w:w="11016" w:type="dxa"/>
            <w:gridSpan w:val="3"/>
            <w:tcBorders>
              <w:top w:val="single" w:sz="24" w:space="0" w:color="000000"/>
            </w:tcBorders>
          </w:tcPr>
          <w:p w14:paraId="5A916899" w14:textId="77777777" w:rsidR="003666AF" w:rsidRDefault="003666AF" w:rsidP="003666AF">
            <w:r>
              <w:t>Screened for mutations in ZPBP1 and KLHL-10 genes in idiopathic infertile male human patient samples to determine whether such mutations give rise to male infertility. I transferred to a different lab before receiving the sequence.</w:t>
            </w:r>
          </w:p>
          <w:p w14:paraId="17668B74" w14:textId="77777777" w:rsidR="003666AF" w:rsidRDefault="003666AF" w:rsidP="003666AF"/>
        </w:tc>
      </w:tr>
      <w:tr w:rsidR="003666AF" w14:paraId="42DE31F3" w14:textId="77777777">
        <w:tc>
          <w:tcPr>
            <w:tcW w:w="3078" w:type="dxa"/>
            <w:tcBorders>
              <w:bottom w:val="single" w:sz="24" w:space="0" w:color="000000"/>
            </w:tcBorders>
          </w:tcPr>
          <w:p w14:paraId="363DF877" w14:textId="77777777" w:rsidR="003666AF" w:rsidRDefault="003666AF" w:rsidP="003666AF">
            <w:r>
              <w:t>Baylor SMART Fellow</w:t>
            </w:r>
          </w:p>
        </w:tc>
        <w:tc>
          <w:tcPr>
            <w:tcW w:w="4266" w:type="dxa"/>
            <w:tcBorders>
              <w:bottom w:val="single" w:sz="24" w:space="0" w:color="000000"/>
            </w:tcBorders>
          </w:tcPr>
          <w:p w14:paraId="0271CDF8" w14:textId="77777777" w:rsidR="003666AF" w:rsidRDefault="003666AF" w:rsidP="003666AF">
            <w:pPr>
              <w:jc w:val="center"/>
            </w:pPr>
            <w:r>
              <w:t>Baylor College of Medicine, Houston, TX</w:t>
            </w:r>
          </w:p>
        </w:tc>
        <w:tc>
          <w:tcPr>
            <w:tcW w:w="3672" w:type="dxa"/>
            <w:tcBorders>
              <w:bottom w:val="single" w:sz="24" w:space="0" w:color="000000"/>
            </w:tcBorders>
          </w:tcPr>
          <w:p w14:paraId="62F74350" w14:textId="77777777" w:rsidR="003666AF" w:rsidRDefault="003666AF" w:rsidP="003666AF">
            <w:pPr>
              <w:jc w:val="right"/>
            </w:pPr>
            <w:r>
              <w:t xml:space="preserve">May 2010 – August 2010 </w:t>
            </w:r>
          </w:p>
        </w:tc>
      </w:tr>
      <w:tr w:rsidR="003666AF" w14:paraId="524F807E" w14:textId="77777777">
        <w:tc>
          <w:tcPr>
            <w:tcW w:w="11016" w:type="dxa"/>
            <w:gridSpan w:val="3"/>
            <w:tcBorders>
              <w:top w:val="single" w:sz="24" w:space="0" w:color="000000"/>
            </w:tcBorders>
          </w:tcPr>
          <w:p w14:paraId="612F189C" w14:textId="77777777" w:rsidR="003666AF" w:rsidRDefault="003666AF" w:rsidP="003666AF">
            <w:r>
              <w:t>Screened for mutations in SPAG 16 gene in idiopathic infertile male patient samples to determine if such mutations contribute to male infertility. One male infertile patient exhibited one amino acid change however could be a polymorphism that occurs in the normal fertile male patient samples.</w:t>
            </w:r>
          </w:p>
          <w:p w14:paraId="66CFF0A3" w14:textId="77777777" w:rsidR="003666AF" w:rsidRDefault="003666AF" w:rsidP="003666AF"/>
        </w:tc>
      </w:tr>
      <w:tr w:rsidR="003666AF" w14:paraId="1579EF27" w14:textId="77777777">
        <w:tc>
          <w:tcPr>
            <w:tcW w:w="3078" w:type="dxa"/>
            <w:tcBorders>
              <w:bottom w:val="single" w:sz="24" w:space="0" w:color="000000"/>
            </w:tcBorders>
            <w:vAlign w:val="bottom"/>
          </w:tcPr>
          <w:p w14:paraId="71045EC1" w14:textId="77777777" w:rsidR="003666AF" w:rsidRDefault="003666AF" w:rsidP="003666AF">
            <w:r>
              <w:t>Welch scholar</w:t>
            </w:r>
          </w:p>
        </w:tc>
        <w:tc>
          <w:tcPr>
            <w:tcW w:w="4266" w:type="dxa"/>
            <w:tcBorders>
              <w:bottom w:val="single" w:sz="24" w:space="0" w:color="000000"/>
            </w:tcBorders>
            <w:vAlign w:val="bottom"/>
          </w:tcPr>
          <w:p w14:paraId="4FB40A39" w14:textId="77777777" w:rsidR="003666AF" w:rsidRDefault="003666AF" w:rsidP="003666AF">
            <w:pPr>
              <w:jc w:val="center"/>
            </w:pPr>
            <w:r>
              <w:t>Univ. of Houston-Downtown, Houston, TX</w:t>
            </w:r>
          </w:p>
        </w:tc>
        <w:tc>
          <w:tcPr>
            <w:tcW w:w="3672" w:type="dxa"/>
            <w:tcBorders>
              <w:bottom w:val="single" w:sz="24" w:space="0" w:color="000000"/>
            </w:tcBorders>
            <w:vAlign w:val="bottom"/>
          </w:tcPr>
          <w:p w14:paraId="48F90D24" w14:textId="77777777" w:rsidR="003666AF" w:rsidRDefault="003666AF" w:rsidP="003666AF">
            <w:pPr>
              <w:jc w:val="right"/>
            </w:pPr>
            <w:r>
              <w:t>June 2008 to August 2008</w:t>
            </w:r>
          </w:p>
        </w:tc>
      </w:tr>
      <w:tr w:rsidR="003666AF" w14:paraId="640F0377" w14:textId="77777777">
        <w:tc>
          <w:tcPr>
            <w:tcW w:w="11016" w:type="dxa"/>
            <w:gridSpan w:val="3"/>
            <w:tcBorders>
              <w:top w:val="single" w:sz="24" w:space="0" w:color="000000"/>
            </w:tcBorders>
            <w:vAlign w:val="bottom"/>
          </w:tcPr>
          <w:p w14:paraId="6B77188F" w14:textId="77777777" w:rsidR="003666AF" w:rsidRDefault="003666AF" w:rsidP="00303174">
            <w:r>
              <w:t>Created nickel hydroxide films to sense different chemicals in alkaline media. The purpose of this research was to create an effective, cost efficient film to detect various chemicals in alkaline media. Results revealed the film could possibly make rocket launches and hydrogen peroxide fuel cells more efficient</w:t>
            </w:r>
          </w:p>
          <w:p w14:paraId="67C74E2D" w14:textId="593F4641" w:rsidR="00303174" w:rsidRDefault="00303174" w:rsidP="00303174"/>
        </w:tc>
      </w:tr>
      <w:tr w:rsidR="003666AF" w14:paraId="7F4D2F00" w14:textId="77777777">
        <w:tc>
          <w:tcPr>
            <w:tcW w:w="3078" w:type="dxa"/>
            <w:tcBorders>
              <w:bottom w:val="single" w:sz="24" w:space="0" w:color="000000"/>
            </w:tcBorders>
            <w:vAlign w:val="bottom"/>
          </w:tcPr>
          <w:p w14:paraId="2F04EB63" w14:textId="77777777" w:rsidR="003666AF" w:rsidRDefault="003666AF" w:rsidP="003666AF">
            <w:r>
              <w:t>Undergrad research assistant</w:t>
            </w:r>
          </w:p>
        </w:tc>
        <w:tc>
          <w:tcPr>
            <w:tcW w:w="4266" w:type="dxa"/>
            <w:tcBorders>
              <w:bottom w:val="single" w:sz="24" w:space="0" w:color="000000"/>
            </w:tcBorders>
            <w:vAlign w:val="bottom"/>
          </w:tcPr>
          <w:p w14:paraId="6AC6F1CE" w14:textId="77777777" w:rsidR="003666AF" w:rsidRDefault="003666AF" w:rsidP="003666AF">
            <w:pPr>
              <w:jc w:val="center"/>
            </w:pPr>
            <w:r>
              <w:t>San Jacinto College-North, Houston, TX</w:t>
            </w:r>
          </w:p>
        </w:tc>
        <w:tc>
          <w:tcPr>
            <w:tcW w:w="3672" w:type="dxa"/>
            <w:tcBorders>
              <w:bottom w:val="single" w:sz="24" w:space="0" w:color="000000"/>
            </w:tcBorders>
            <w:vAlign w:val="bottom"/>
          </w:tcPr>
          <w:p w14:paraId="6D37588E" w14:textId="77777777" w:rsidR="003666AF" w:rsidRDefault="003666AF" w:rsidP="003666AF">
            <w:pPr>
              <w:jc w:val="right"/>
            </w:pPr>
            <w:r>
              <w:t>June 2007 – July 2007</w:t>
            </w:r>
          </w:p>
        </w:tc>
      </w:tr>
      <w:tr w:rsidR="003666AF" w14:paraId="438666E3" w14:textId="77777777">
        <w:tc>
          <w:tcPr>
            <w:tcW w:w="11016" w:type="dxa"/>
            <w:gridSpan w:val="3"/>
            <w:tcBorders>
              <w:top w:val="single" w:sz="24" w:space="0" w:color="000000"/>
            </w:tcBorders>
            <w:vAlign w:val="bottom"/>
          </w:tcPr>
          <w:p w14:paraId="4F111719" w14:textId="77777777" w:rsidR="003666AF" w:rsidRDefault="003666AF" w:rsidP="003666AF">
            <w:r>
              <w:t>Located alluvial fans in the Uinta Basin in Northeastern Utah. Searched for burn horizons in the alluvial fans.  Located charcoal in the burn horizons to find quantitative evidence of frequent fires and debris deposits in the alluvial fans. Discovered chronological inversion in two of the eleven alluvial fan locations.</w:t>
            </w:r>
          </w:p>
          <w:p w14:paraId="5DAFFCE9" w14:textId="77777777" w:rsidR="003666AF" w:rsidRDefault="003666AF" w:rsidP="003666AF"/>
        </w:tc>
      </w:tr>
    </w:tbl>
    <w:p w14:paraId="1625F00E" w14:textId="77777777" w:rsidR="00113CFD" w:rsidRDefault="00113CFD">
      <w:pPr>
        <w:spacing w:after="0"/>
      </w:pPr>
    </w:p>
    <w:p w14:paraId="4876F78B" w14:textId="77777777" w:rsidR="00113CFD" w:rsidRDefault="0050407A">
      <w:pPr>
        <w:spacing w:after="0"/>
        <w:rPr>
          <w:b/>
        </w:rPr>
      </w:pPr>
      <w:r>
        <w:rPr>
          <w:b/>
        </w:rPr>
        <w:t>Funding</w:t>
      </w:r>
    </w:p>
    <w:tbl>
      <w:tblPr>
        <w:tblStyle w:val="a4"/>
        <w:tblW w:w="10980" w:type="dxa"/>
        <w:tblInd w:w="18" w:type="dxa"/>
        <w:tblLayout w:type="fixed"/>
        <w:tblLook w:val="0400" w:firstRow="0" w:lastRow="0" w:firstColumn="0" w:lastColumn="0" w:noHBand="0" w:noVBand="1"/>
      </w:tblPr>
      <w:tblGrid>
        <w:gridCol w:w="1710"/>
        <w:gridCol w:w="3240"/>
        <w:gridCol w:w="3690"/>
        <w:gridCol w:w="2340"/>
      </w:tblGrid>
      <w:tr w:rsidR="00113CFD" w14:paraId="1C1CE375" w14:textId="77777777">
        <w:tc>
          <w:tcPr>
            <w:tcW w:w="1710" w:type="dxa"/>
            <w:vAlign w:val="center"/>
          </w:tcPr>
          <w:p w14:paraId="17035AA7" w14:textId="77777777" w:rsidR="00113CFD" w:rsidRDefault="0050407A">
            <w:pPr>
              <w:pBdr>
                <w:top w:val="nil"/>
                <w:left w:val="nil"/>
                <w:bottom w:val="nil"/>
                <w:right w:val="nil"/>
                <w:between w:val="nil"/>
              </w:pBdr>
              <w:spacing w:after="0" w:line="240" w:lineRule="auto"/>
              <w:jc w:val="center"/>
              <w:rPr>
                <w:color w:val="000000"/>
              </w:rPr>
            </w:pPr>
            <w:r>
              <w:rPr>
                <w:color w:val="000000"/>
              </w:rPr>
              <w:t>August 2011 to August 2012</w:t>
            </w:r>
          </w:p>
        </w:tc>
        <w:tc>
          <w:tcPr>
            <w:tcW w:w="3240" w:type="dxa"/>
            <w:vAlign w:val="center"/>
          </w:tcPr>
          <w:p w14:paraId="76B97342" w14:textId="77777777" w:rsidR="00113CFD" w:rsidRDefault="0050407A">
            <w:pPr>
              <w:pBdr>
                <w:top w:val="nil"/>
                <w:left w:val="nil"/>
                <w:bottom w:val="nil"/>
                <w:right w:val="nil"/>
                <w:between w:val="nil"/>
              </w:pBdr>
              <w:spacing w:after="0" w:line="240" w:lineRule="auto"/>
              <w:jc w:val="center"/>
              <w:rPr>
                <w:b/>
                <w:color w:val="000000"/>
              </w:rPr>
            </w:pPr>
            <w:r>
              <w:rPr>
                <w:color w:val="000000"/>
              </w:rPr>
              <w:t>Initiative for Maximizing Student Development Grant Awardee #1R25GM095480-01</w:t>
            </w:r>
          </w:p>
        </w:tc>
        <w:tc>
          <w:tcPr>
            <w:tcW w:w="3690" w:type="dxa"/>
            <w:vAlign w:val="center"/>
          </w:tcPr>
          <w:p w14:paraId="4387ACD4" w14:textId="77777777" w:rsidR="00113CFD" w:rsidRDefault="0050407A">
            <w:pPr>
              <w:pBdr>
                <w:top w:val="nil"/>
                <w:left w:val="nil"/>
                <w:bottom w:val="nil"/>
                <w:right w:val="nil"/>
                <w:between w:val="nil"/>
              </w:pBdr>
              <w:spacing w:after="0" w:line="240" w:lineRule="auto"/>
              <w:jc w:val="center"/>
              <w:rPr>
                <w:b/>
                <w:color w:val="000000"/>
              </w:rPr>
            </w:pPr>
            <w:r>
              <w:rPr>
                <w:color w:val="000000"/>
              </w:rPr>
              <w:t>National Institutes of Health</w:t>
            </w:r>
          </w:p>
        </w:tc>
        <w:tc>
          <w:tcPr>
            <w:tcW w:w="2340" w:type="dxa"/>
            <w:vAlign w:val="center"/>
          </w:tcPr>
          <w:p w14:paraId="46FE129D" w14:textId="77777777" w:rsidR="00113CFD" w:rsidRDefault="0050407A">
            <w:pPr>
              <w:pBdr>
                <w:top w:val="nil"/>
                <w:left w:val="nil"/>
                <w:bottom w:val="nil"/>
                <w:right w:val="nil"/>
                <w:between w:val="nil"/>
              </w:pBdr>
              <w:spacing w:after="0" w:line="240" w:lineRule="auto"/>
              <w:jc w:val="center"/>
              <w:rPr>
                <w:b/>
                <w:color w:val="000000"/>
              </w:rPr>
            </w:pPr>
            <w:r>
              <w:rPr>
                <w:color w:val="000000"/>
              </w:rPr>
              <w:t>Amount: $30,100.00</w:t>
            </w:r>
          </w:p>
        </w:tc>
      </w:tr>
      <w:tr w:rsidR="00113CFD" w14:paraId="255206A5" w14:textId="77777777">
        <w:tc>
          <w:tcPr>
            <w:tcW w:w="1710" w:type="dxa"/>
            <w:vAlign w:val="center"/>
          </w:tcPr>
          <w:p w14:paraId="1B4ED1DA" w14:textId="77777777" w:rsidR="00113CFD" w:rsidRDefault="0050407A">
            <w:pPr>
              <w:pBdr>
                <w:top w:val="nil"/>
                <w:left w:val="nil"/>
                <w:bottom w:val="nil"/>
                <w:right w:val="nil"/>
                <w:between w:val="nil"/>
              </w:pBdr>
              <w:spacing w:after="0" w:line="240" w:lineRule="auto"/>
              <w:jc w:val="center"/>
              <w:rPr>
                <w:color w:val="000000"/>
              </w:rPr>
            </w:pPr>
            <w:r>
              <w:rPr>
                <w:color w:val="000000"/>
              </w:rPr>
              <w:t>January 2010</w:t>
            </w:r>
          </w:p>
        </w:tc>
        <w:tc>
          <w:tcPr>
            <w:tcW w:w="3240" w:type="dxa"/>
            <w:vAlign w:val="center"/>
          </w:tcPr>
          <w:p w14:paraId="39D56393" w14:textId="77777777" w:rsidR="00113CFD" w:rsidRDefault="0050407A">
            <w:pPr>
              <w:pBdr>
                <w:top w:val="nil"/>
                <w:left w:val="nil"/>
                <w:bottom w:val="nil"/>
                <w:right w:val="nil"/>
                <w:between w:val="nil"/>
              </w:pBdr>
              <w:spacing w:after="0" w:line="240" w:lineRule="auto"/>
              <w:jc w:val="center"/>
              <w:rPr>
                <w:color w:val="000000"/>
              </w:rPr>
            </w:pPr>
            <w:r>
              <w:rPr>
                <w:color w:val="000000"/>
              </w:rPr>
              <w:t>LSA1/LSMA: Alliance for Minority Participation</w:t>
            </w:r>
          </w:p>
        </w:tc>
        <w:tc>
          <w:tcPr>
            <w:tcW w:w="3690" w:type="dxa"/>
            <w:vAlign w:val="center"/>
          </w:tcPr>
          <w:p w14:paraId="4A59CDE7" w14:textId="77777777" w:rsidR="00113CFD" w:rsidRDefault="0050407A">
            <w:pPr>
              <w:pBdr>
                <w:top w:val="nil"/>
                <w:left w:val="nil"/>
                <w:bottom w:val="nil"/>
                <w:right w:val="nil"/>
                <w:between w:val="nil"/>
              </w:pBdr>
              <w:spacing w:after="0" w:line="240" w:lineRule="auto"/>
              <w:jc w:val="center"/>
              <w:rPr>
                <w:color w:val="000000"/>
              </w:rPr>
            </w:pPr>
            <w:r>
              <w:rPr>
                <w:color w:val="000000"/>
              </w:rPr>
              <w:t>University of Houston-Downtown</w:t>
            </w:r>
          </w:p>
        </w:tc>
        <w:tc>
          <w:tcPr>
            <w:tcW w:w="2340" w:type="dxa"/>
            <w:vAlign w:val="center"/>
          </w:tcPr>
          <w:p w14:paraId="723CE60A" w14:textId="77777777" w:rsidR="00113CFD" w:rsidRDefault="0050407A">
            <w:pPr>
              <w:pBdr>
                <w:top w:val="nil"/>
                <w:left w:val="nil"/>
                <w:bottom w:val="nil"/>
                <w:right w:val="nil"/>
                <w:between w:val="nil"/>
              </w:pBdr>
              <w:spacing w:after="0" w:line="240" w:lineRule="auto"/>
              <w:jc w:val="center"/>
              <w:rPr>
                <w:color w:val="000000"/>
              </w:rPr>
            </w:pPr>
            <w:r>
              <w:rPr>
                <w:color w:val="000000"/>
              </w:rPr>
              <w:t>Amount: $1,110.00</w:t>
            </w:r>
          </w:p>
        </w:tc>
      </w:tr>
      <w:tr w:rsidR="00113CFD" w14:paraId="4A37AC79" w14:textId="77777777">
        <w:tc>
          <w:tcPr>
            <w:tcW w:w="1710" w:type="dxa"/>
            <w:vAlign w:val="center"/>
          </w:tcPr>
          <w:p w14:paraId="56D5A8E7" w14:textId="77777777" w:rsidR="00113CFD" w:rsidRDefault="0050407A">
            <w:pPr>
              <w:pBdr>
                <w:top w:val="nil"/>
                <w:left w:val="nil"/>
                <w:bottom w:val="nil"/>
                <w:right w:val="nil"/>
                <w:between w:val="nil"/>
              </w:pBdr>
              <w:spacing w:after="0" w:line="240" w:lineRule="auto"/>
              <w:jc w:val="center"/>
              <w:rPr>
                <w:color w:val="000000"/>
              </w:rPr>
            </w:pPr>
            <w:r>
              <w:rPr>
                <w:color w:val="000000"/>
              </w:rPr>
              <w:t>August 2009 to August 2010</w:t>
            </w:r>
          </w:p>
        </w:tc>
        <w:tc>
          <w:tcPr>
            <w:tcW w:w="3240" w:type="dxa"/>
            <w:vAlign w:val="center"/>
          </w:tcPr>
          <w:p w14:paraId="5DBD9243" w14:textId="77777777" w:rsidR="00113CFD" w:rsidRDefault="0050407A">
            <w:pPr>
              <w:pBdr>
                <w:top w:val="nil"/>
                <w:left w:val="nil"/>
                <w:bottom w:val="nil"/>
                <w:right w:val="nil"/>
                <w:between w:val="nil"/>
              </w:pBdr>
              <w:spacing w:after="0" w:line="240" w:lineRule="auto"/>
              <w:jc w:val="center"/>
              <w:rPr>
                <w:color w:val="000000"/>
              </w:rPr>
            </w:pPr>
            <w:r>
              <w:rPr>
                <w:color w:val="000000"/>
              </w:rPr>
              <w:t>National SMART Grant</w:t>
            </w:r>
          </w:p>
        </w:tc>
        <w:tc>
          <w:tcPr>
            <w:tcW w:w="3690" w:type="dxa"/>
            <w:vAlign w:val="center"/>
          </w:tcPr>
          <w:p w14:paraId="4CA10734" w14:textId="77777777" w:rsidR="00113CFD" w:rsidRDefault="0050407A">
            <w:pPr>
              <w:pBdr>
                <w:top w:val="nil"/>
                <w:left w:val="nil"/>
                <w:bottom w:val="nil"/>
                <w:right w:val="nil"/>
                <w:between w:val="nil"/>
              </w:pBdr>
              <w:spacing w:after="0" w:line="240" w:lineRule="auto"/>
              <w:jc w:val="center"/>
              <w:rPr>
                <w:color w:val="000000"/>
              </w:rPr>
            </w:pPr>
            <w:r>
              <w:rPr>
                <w:color w:val="000000"/>
              </w:rPr>
              <w:t>U.S. Department of Education</w:t>
            </w:r>
          </w:p>
        </w:tc>
        <w:tc>
          <w:tcPr>
            <w:tcW w:w="2340" w:type="dxa"/>
            <w:vAlign w:val="center"/>
          </w:tcPr>
          <w:p w14:paraId="589E4130" w14:textId="77777777" w:rsidR="00113CFD" w:rsidRDefault="0050407A">
            <w:pPr>
              <w:pBdr>
                <w:top w:val="nil"/>
                <w:left w:val="nil"/>
                <w:bottom w:val="nil"/>
                <w:right w:val="nil"/>
                <w:between w:val="nil"/>
              </w:pBdr>
              <w:spacing w:after="0" w:line="240" w:lineRule="auto"/>
              <w:jc w:val="center"/>
              <w:rPr>
                <w:color w:val="000000"/>
              </w:rPr>
            </w:pPr>
            <w:r>
              <w:rPr>
                <w:color w:val="000000"/>
              </w:rPr>
              <w:t>Amount $6,000.00</w:t>
            </w:r>
          </w:p>
        </w:tc>
      </w:tr>
      <w:tr w:rsidR="00113CFD" w14:paraId="3017857F" w14:textId="77777777">
        <w:tc>
          <w:tcPr>
            <w:tcW w:w="1710" w:type="dxa"/>
            <w:vAlign w:val="center"/>
          </w:tcPr>
          <w:p w14:paraId="54E07639" w14:textId="77777777" w:rsidR="00113CFD" w:rsidRDefault="0050407A">
            <w:pPr>
              <w:pBdr>
                <w:top w:val="nil"/>
                <w:left w:val="nil"/>
                <w:bottom w:val="nil"/>
                <w:right w:val="nil"/>
                <w:between w:val="nil"/>
              </w:pBdr>
              <w:spacing w:after="0" w:line="240" w:lineRule="auto"/>
              <w:jc w:val="center"/>
              <w:rPr>
                <w:color w:val="000000"/>
              </w:rPr>
            </w:pPr>
            <w:r>
              <w:rPr>
                <w:color w:val="000000"/>
              </w:rPr>
              <w:t>August 2009 to August 2010</w:t>
            </w:r>
          </w:p>
        </w:tc>
        <w:tc>
          <w:tcPr>
            <w:tcW w:w="3240" w:type="dxa"/>
            <w:vAlign w:val="center"/>
          </w:tcPr>
          <w:p w14:paraId="4224417F" w14:textId="77777777" w:rsidR="00113CFD" w:rsidRDefault="0050407A">
            <w:pPr>
              <w:pBdr>
                <w:top w:val="nil"/>
                <w:left w:val="nil"/>
                <w:bottom w:val="nil"/>
                <w:right w:val="nil"/>
                <w:between w:val="nil"/>
              </w:pBdr>
              <w:spacing w:after="0" w:line="240" w:lineRule="auto"/>
              <w:jc w:val="center"/>
              <w:rPr>
                <w:color w:val="000000"/>
              </w:rPr>
            </w:pPr>
            <w:r>
              <w:rPr>
                <w:color w:val="000000"/>
              </w:rPr>
              <w:t>Red Rose Scholarship</w:t>
            </w:r>
          </w:p>
        </w:tc>
        <w:tc>
          <w:tcPr>
            <w:tcW w:w="3690" w:type="dxa"/>
            <w:vAlign w:val="center"/>
          </w:tcPr>
          <w:p w14:paraId="03F18859" w14:textId="77777777" w:rsidR="00113CFD" w:rsidRDefault="0050407A">
            <w:pPr>
              <w:pBdr>
                <w:top w:val="nil"/>
                <w:left w:val="nil"/>
                <w:bottom w:val="nil"/>
                <w:right w:val="nil"/>
                <w:between w:val="nil"/>
              </w:pBdr>
              <w:spacing w:after="0" w:line="240" w:lineRule="auto"/>
              <w:jc w:val="center"/>
              <w:rPr>
                <w:color w:val="000000"/>
              </w:rPr>
            </w:pPr>
            <w:r>
              <w:rPr>
                <w:color w:val="000000"/>
              </w:rPr>
              <w:t>University of Houston-Downtown</w:t>
            </w:r>
          </w:p>
        </w:tc>
        <w:tc>
          <w:tcPr>
            <w:tcW w:w="2340" w:type="dxa"/>
            <w:vAlign w:val="center"/>
          </w:tcPr>
          <w:p w14:paraId="64085E53" w14:textId="77777777" w:rsidR="00113CFD" w:rsidRDefault="0050407A">
            <w:pPr>
              <w:pBdr>
                <w:top w:val="nil"/>
                <w:left w:val="nil"/>
                <w:bottom w:val="nil"/>
                <w:right w:val="nil"/>
                <w:between w:val="nil"/>
              </w:pBdr>
              <w:spacing w:after="0" w:line="240" w:lineRule="auto"/>
              <w:jc w:val="center"/>
              <w:rPr>
                <w:color w:val="000000"/>
              </w:rPr>
            </w:pPr>
            <w:r>
              <w:rPr>
                <w:color w:val="000000"/>
              </w:rPr>
              <w:t>Amount: $3,000</w:t>
            </w:r>
          </w:p>
        </w:tc>
      </w:tr>
      <w:tr w:rsidR="00113CFD" w14:paraId="60962D73" w14:textId="77777777">
        <w:tc>
          <w:tcPr>
            <w:tcW w:w="1710" w:type="dxa"/>
            <w:vAlign w:val="center"/>
          </w:tcPr>
          <w:p w14:paraId="11692FD5" w14:textId="77777777" w:rsidR="00113CFD" w:rsidRDefault="0050407A">
            <w:pPr>
              <w:pBdr>
                <w:top w:val="nil"/>
                <w:left w:val="nil"/>
                <w:bottom w:val="nil"/>
                <w:right w:val="nil"/>
                <w:between w:val="nil"/>
              </w:pBdr>
              <w:spacing w:after="0" w:line="240" w:lineRule="auto"/>
              <w:jc w:val="center"/>
              <w:rPr>
                <w:color w:val="000000"/>
              </w:rPr>
            </w:pPr>
            <w:r>
              <w:rPr>
                <w:color w:val="000000"/>
              </w:rPr>
              <w:t>January 2009 to May 2011</w:t>
            </w:r>
          </w:p>
        </w:tc>
        <w:tc>
          <w:tcPr>
            <w:tcW w:w="3240" w:type="dxa"/>
            <w:vAlign w:val="center"/>
          </w:tcPr>
          <w:p w14:paraId="0B5CB7ED" w14:textId="77777777" w:rsidR="00113CFD" w:rsidRDefault="0050407A">
            <w:pPr>
              <w:pBdr>
                <w:top w:val="nil"/>
                <w:left w:val="nil"/>
                <w:bottom w:val="nil"/>
                <w:right w:val="nil"/>
                <w:between w:val="nil"/>
              </w:pBdr>
              <w:spacing w:after="0" w:line="240" w:lineRule="auto"/>
              <w:jc w:val="center"/>
              <w:rPr>
                <w:color w:val="000000"/>
              </w:rPr>
            </w:pPr>
            <w:r>
              <w:rPr>
                <w:color w:val="000000"/>
              </w:rPr>
              <w:t>MARC U*STAR scholarship</w:t>
            </w:r>
          </w:p>
        </w:tc>
        <w:tc>
          <w:tcPr>
            <w:tcW w:w="3690" w:type="dxa"/>
            <w:vAlign w:val="center"/>
          </w:tcPr>
          <w:p w14:paraId="7F08C5C0" w14:textId="77777777" w:rsidR="00113CFD" w:rsidRDefault="0050407A">
            <w:pPr>
              <w:pBdr>
                <w:top w:val="nil"/>
                <w:left w:val="nil"/>
                <w:bottom w:val="nil"/>
                <w:right w:val="nil"/>
                <w:between w:val="nil"/>
              </w:pBdr>
              <w:spacing w:after="0" w:line="240" w:lineRule="auto"/>
              <w:jc w:val="center"/>
              <w:rPr>
                <w:color w:val="000000"/>
              </w:rPr>
            </w:pPr>
            <w:r>
              <w:rPr>
                <w:color w:val="000000"/>
              </w:rPr>
              <w:t>National Institutes of Health</w:t>
            </w:r>
          </w:p>
        </w:tc>
        <w:tc>
          <w:tcPr>
            <w:tcW w:w="2340" w:type="dxa"/>
            <w:vAlign w:val="center"/>
          </w:tcPr>
          <w:p w14:paraId="0E9761F8" w14:textId="77777777" w:rsidR="00113CFD" w:rsidRDefault="0050407A">
            <w:pPr>
              <w:pBdr>
                <w:top w:val="nil"/>
                <w:left w:val="nil"/>
                <w:bottom w:val="nil"/>
                <w:right w:val="nil"/>
                <w:between w:val="nil"/>
              </w:pBdr>
              <w:spacing w:after="0" w:line="240" w:lineRule="auto"/>
              <w:jc w:val="center"/>
              <w:rPr>
                <w:color w:val="000000"/>
              </w:rPr>
            </w:pPr>
            <w:r>
              <w:rPr>
                <w:color w:val="000000"/>
              </w:rPr>
              <w:t>Amount: $4,500.00</w:t>
            </w:r>
          </w:p>
        </w:tc>
      </w:tr>
      <w:tr w:rsidR="00113CFD" w14:paraId="58020C7B" w14:textId="77777777">
        <w:tc>
          <w:tcPr>
            <w:tcW w:w="1710" w:type="dxa"/>
            <w:vAlign w:val="center"/>
          </w:tcPr>
          <w:p w14:paraId="7C5A841E" w14:textId="77777777" w:rsidR="00113CFD" w:rsidRDefault="0050407A">
            <w:pPr>
              <w:pBdr>
                <w:top w:val="nil"/>
                <w:left w:val="nil"/>
                <w:bottom w:val="nil"/>
                <w:right w:val="nil"/>
                <w:between w:val="nil"/>
              </w:pBdr>
              <w:spacing w:after="0" w:line="240" w:lineRule="auto"/>
              <w:jc w:val="center"/>
              <w:rPr>
                <w:color w:val="000000"/>
              </w:rPr>
            </w:pPr>
            <w:r>
              <w:rPr>
                <w:color w:val="000000"/>
              </w:rPr>
              <w:t>August 2007 to August 2009</w:t>
            </w:r>
          </w:p>
        </w:tc>
        <w:tc>
          <w:tcPr>
            <w:tcW w:w="3240" w:type="dxa"/>
            <w:vAlign w:val="center"/>
          </w:tcPr>
          <w:p w14:paraId="378B6FF4" w14:textId="77777777" w:rsidR="00113CFD" w:rsidRDefault="0050407A">
            <w:pPr>
              <w:pBdr>
                <w:top w:val="nil"/>
                <w:left w:val="nil"/>
                <w:bottom w:val="nil"/>
                <w:right w:val="nil"/>
                <w:between w:val="nil"/>
              </w:pBdr>
              <w:spacing w:after="0" w:line="240" w:lineRule="auto"/>
              <w:jc w:val="center"/>
              <w:rPr>
                <w:color w:val="000000"/>
              </w:rPr>
            </w:pPr>
            <w:r>
              <w:rPr>
                <w:color w:val="000000"/>
              </w:rPr>
              <w:t>Scholars Academy STEP Grant</w:t>
            </w:r>
          </w:p>
        </w:tc>
        <w:tc>
          <w:tcPr>
            <w:tcW w:w="3690" w:type="dxa"/>
            <w:vAlign w:val="center"/>
          </w:tcPr>
          <w:p w14:paraId="7B52C39F" w14:textId="77777777" w:rsidR="00113CFD" w:rsidRDefault="0050407A">
            <w:pPr>
              <w:pBdr>
                <w:top w:val="nil"/>
                <w:left w:val="nil"/>
                <w:bottom w:val="nil"/>
                <w:right w:val="nil"/>
                <w:between w:val="nil"/>
              </w:pBdr>
              <w:spacing w:after="0" w:line="240" w:lineRule="auto"/>
              <w:jc w:val="center"/>
              <w:rPr>
                <w:color w:val="000000"/>
              </w:rPr>
            </w:pPr>
            <w:r>
              <w:rPr>
                <w:color w:val="000000"/>
              </w:rPr>
              <w:t>US Army Research Office-Infrastructure Support Program-Urban Center for Student Success (UCSS)</w:t>
            </w:r>
          </w:p>
        </w:tc>
        <w:tc>
          <w:tcPr>
            <w:tcW w:w="2340" w:type="dxa"/>
            <w:vAlign w:val="center"/>
          </w:tcPr>
          <w:p w14:paraId="31279EC0" w14:textId="77777777" w:rsidR="00113CFD" w:rsidRDefault="0050407A">
            <w:pPr>
              <w:pBdr>
                <w:top w:val="nil"/>
                <w:left w:val="nil"/>
                <w:bottom w:val="nil"/>
                <w:right w:val="nil"/>
                <w:between w:val="nil"/>
              </w:pBdr>
              <w:spacing w:after="0" w:line="240" w:lineRule="auto"/>
              <w:jc w:val="center"/>
              <w:rPr>
                <w:color w:val="000000"/>
              </w:rPr>
            </w:pPr>
            <w:r>
              <w:rPr>
                <w:color w:val="000000"/>
              </w:rPr>
              <w:t>Amount: $8,000.00</w:t>
            </w:r>
          </w:p>
        </w:tc>
      </w:tr>
      <w:tr w:rsidR="00113CFD" w14:paraId="7BB81130" w14:textId="77777777">
        <w:tc>
          <w:tcPr>
            <w:tcW w:w="1710" w:type="dxa"/>
            <w:vAlign w:val="center"/>
          </w:tcPr>
          <w:p w14:paraId="61A5B7A1" w14:textId="77777777" w:rsidR="00113CFD" w:rsidRDefault="0050407A">
            <w:pPr>
              <w:pBdr>
                <w:top w:val="nil"/>
                <w:left w:val="nil"/>
                <w:bottom w:val="nil"/>
                <w:right w:val="nil"/>
                <w:between w:val="nil"/>
              </w:pBdr>
              <w:spacing w:after="0" w:line="240" w:lineRule="auto"/>
              <w:jc w:val="center"/>
              <w:rPr>
                <w:color w:val="000000"/>
              </w:rPr>
            </w:pPr>
            <w:r>
              <w:rPr>
                <w:color w:val="000000"/>
              </w:rPr>
              <w:t>January 2008</w:t>
            </w:r>
          </w:p>
        </w:tc>
        <w:tc>
          <w:tcPr>
            <w:tcW w:w="3240" w:type="dxa"/>
            <w:vAlign w:val="center"/>
          </w:tcPr>
          <w:p w14:paraId="2D827960" w14:textId="77777777" w:rsidR="00113CFD" w:rsidRDefault="0050407A">
            <w:pPr>
              <w:pBdr>
                <w:top w:val="nil"/>
                <w:left w:val="nil"/>
                <w:bottom w:val="nil"/>
                <w:right w:val="nil"/>
                <w:between w:val="nil"/>
              </w:pBdr>
              <w:spacing w:after="0" w:line="240" w:lineRule="auto"/>
              <w:jc w:val="center"/>
              <w:rPr>
                <w:color w:val="000000"/>
              </w:rPr>
            </w:pPr>
            <w:r>
              <w:rPr>
                <w:color w:val="000000"/>
              </w:rPr>
              <w:t>Rising to the Challenge Scholarship</w:t>
            </w:r>
          </w:p>
        </w:tc>
        <w:tc>
          <w:tcPr>
            <w:tcW w:w="3690" w:type="dxa"/>
            <w:vAlign w:val="center"/>
          </w:tcPr>
          <w:p w14:paraId="01772235" w14:textId="77777777" w:rsidR="00113CFD" w:rsidRDefault="0050407A">
            <w:pPr>
              <w:pBdr>
                <w:top w:val="nil"/>
                <w:left w:val="nil"/>
                <w:bottom w:val="nil"/>
                <w:right w:val="nil"/>
                <w:between w:val="nil"/>
              </w:pBdr>
              <w:spacing w:after="0" w:line="240" w:lineRule="auto"/>
              <w:jc w:val="center"/>
              <w:rPr>
                <w:color w:val="000000"/>
              </w:rPr>
            </w:pPr>
            <w:r>
              <w:rPr>
                <w:color w:val="000000"/>
              </w:rPr>
              <w:t>University of Houston-Downtown</w:t>
            </w:r>
          </w:p>
        </w:tc>
        <w:tc>
          <w:tcPr>
            <w:tcW w:w="2340" w:type="dxa"/>
            <w:vAlign w:val="center"/>
          </w:tcPr>
          <w:p w14:paraId="526805EC" w14:textId="77777777" w:rsidR="00113CFD" w:rsidRDefault="0050407A">
            <w:pPr>
              <w:pBdr>
                <w:top w:val="nil"/>
                <w:left w:val="nil"/>
                <w:bottom w:val="nil"/>
                <w:right w:val="nil"/>
                <w:between w:val="nil"/>
              </w:pBdr>
              <w:spacing w:after="0" w:line="240" w:lineRule="auto"/>
              <w:jc w:val="center"/>
              <w:rPr>
                <w:color w:val="000000"/>
              </w:rPr>
            </w:pPr>
            <w:r>
              <w:rPr>
                <w:color w:val="000000"/>
              </w:rPr>
              <w:t>Amount: $500.00</w:t>
            </w:r>
          </w:p>
        </w:tc>
      </w:tr>
      <w:tr w:rsidR="00113CFD" w14:paraId="369B3F33" w14:textId="77777777">
        <w:tc>
          <w:tcPr>
            <w:tcW w:w="1710" w:type="dxa"/>
            <w:vAlign w:val="center"/>
          </w:tcPr>
          <w:p w14:paraId="5F785DAA" w14:textId="77777777" w:rsidR="00113CFD" w:rsidRDefault="0050407A">
            <w:pPr>
              <w:pBdr>
                <w:top w:val="nil"/>
                <w:left w:val="nil"/>
                <w:bottom w:val="nil"/>
                <w:right w:val="nil"/>
                <w:between w:val="nil"/>
              </w:pBdr>
              <w:spacing w:after="0" w:line="240" w:lineRule="auto"/>
              <w:jc w:val="center"/>
              <w:rPr>
                <w:color w:val="000000"/>
              </w:rPr>
            </w:pPr>
            <w:r>
              <w:rPr>
                <w:color w:val="000000"/>
              </w:rPr>
              <w:t>August 2008</w:t>
            </w:r>
          </w:p>
        </w:tc>
        <w:tc>
          <w:tcPr>
            <w:tcW w:w="3240" w:type="dxa"/>
            <w:vAlign w:val="center"/>
          </w:tcPr>
          <w:p w14:paraId="27AE2D15" w14:textId="77777777" w:rsidR="00113CFD" w:rsidRDefault="0050407A">
            <w:pPr>
              <w:pBdr>
                <w:top w:val="nil"/>
                <w:left w:val="nil"/>
                <w:bottom w:val="nil"/>
                <w:right w:val="nil"/>
                <w:between w:val="nil"/>
              </w:pBdr>
              <w:spacing w:after="0" w:line="240" w:lineRule="auto"/>
              <w:jc w:val="center"/>
              <w:rPr>
                <w:color w:val="000000"/>
              </w:rPr>
            </w:pPr>
            <w:r>
              <w:rPr>
                <w:color w:val="000000"/>
              </w:rPr>
              <w:t>Jones Scholarship</w:t>
            </w:r>
          </w:p>
        </w:tc>
        <w:tc>
          <w:tcPr>
            <w:tcW w:w="3690" w:type="dxa"/>
            <w:vAlign w:val="center"/>
          </w:tcPr>
          <w:p w14:paraId="60044ECD" w14:textId="77777777" w:rsidR="00113CFD" w:rsidRDefault="0050407A">
            <w:pPr>
              <w:pBdr>
                <w:top w:val="nil"/>
                <w:left w:val="nil"/>
                <w:bottom w:val="nil"/>
                <w:right w:val="nil"/>
                <w:between w:val="nil"/>
              </w:pBdr>
              <w:spacing w:after="0" w:line="240" w:lineRule="auto"/>
              <w:jc w:val="center"/>
              <w:rPr>
                <w:color w:val="000000"/>
              </w:rPr>
            </w:pPr>
            <w:r>
              <w:rPr>
                <w:color w:val="000000"/>
              </w:rPr>
              <w:t>University of Houston-Downtown</w:t>
            </w:r>
          </w:p>
        </w:tc>
        <w:tc>
          <w:tcPr>
            <w:tcW w:w="2340" w:type="dxa"/>
            <w:vAlign w:val="center"/>
          </w:tcPr>
          <w:p w14:paraId="204FF5F3" w14:textId="77777777" w:rsidR="00113CFD" w:rsidRDefault="0050407A">
            <w:pPr>
              <w:pBdr>
                <w:top w:val="nil"/>
                <w:left w:val="nil"/>
                <w:bottom w:val="nil"/>
                <w:right w:val="nil"/>
                <w:between w:val="nil"/>
              </w:pBdr>
              <w:spacing w:after="0" w:line="240" w:lineRule="auto"/>
              <w:jc w:val="center"/>
              <w:rPr>
                <w:color w:val="000000"/>
              </w:rPr>
            </w:pPr>
            <w:r>
              <w:rPr>
                <w:color w:val="000000"/>
              </w:rPr>
              <w:t>Amount: $750.00</w:t>
            </w:r>
          </w:p>
        </w:tc>
      </w:tr>
    </w:tbl>
    <w:p w14:paraId="7CD44BC9" w14:textId="77777777" w:rsidR="00113CFD" w:rsidRDefault="00113CFD">
      <w:pPr>
        <w:spacing w:after="0"/>
      </w:pPr>
    </w:p>
    <w:p w14:paraId="776C4A10" w14:textId="77777777" w:rsidR="00113CFD" w:rsidRDefault="0050407A">
      <w:pPr>
        <w:ind w:left="720" w:hanging="720"/>
        <w:rPr>
          <w:b/>
        </w:rPr>
      </w:pPr>
      <w:r>
        <w:rPr>
          <w:b/>
        </w:rPr>
        <w:t>Presentations</w:t>
      </w:r>
    </w:p>
    <w:p w14:paraId="10624552" w14:textId="77777777" w:rsidR="00113CFD" w:rsidRDefault="0050407A">
      <w:pPr>
        <w:ind w:left="1440" w:hanging="1440"/>
        <w:rPr>
          <w:b/>
        </w:rPr>
      </w:pPr>
      <w:r>
        <w:rPr>
          <w:b/>
        </w:rPr>
        <w:t>Wilson D</w:t>
      </w:r>
      <w:r>
        <w:t xml:space="preserve">, </w:t>
      </w:r>
      <w:proofErr w:type="spellStart"/>
      <w:r>
        <w:t>Livi</w:t>
      </w:r>
      <w:proofErr w:type="spellEnd"/>
      <w:r>
        <w:t xml:space="preserve"> C, Chen Y, Hernandez J, Thompson IM, and Leach RJ. (June 2014) Gene Expression Profiling of Definitive Prostate Cancer Outcomes. Bioinformatics &amp; Pharmacogenomics: Managing and Analyzing Big Data Conference. (poster)</w:t>
      </w:r>
    </w:p>
    <w:p w14:paraId="250A17DC" w14:textId="77777777" w:rsidR="00113CFD" w:rsidRDefault="0050407A">
      <w:pPr>
        <w:ind w:left="1440" w:hanging="1440"/>
      </w:pPr>
      <w:r>
        <w:rPr>
          <w:b/>
        </w:rPr>
        <w:t>Wilson D</w:t>
      </w:r>
      <w:r>
        <w:t xml:space="preserve">, </w:t>
      </w:r>
      <w:proofErr w:type="spellStart"/>
      <w:r>
        <w:t>Livi</w:t>
      </w:r>
      <w:proofErr w:type="spellEnd"/>
      <w:r>
        <w:t xml:space="preserve"> C, Chen Y, Hernandez J, Thompson IM, and Leach RJ. (October 2014) Gene Expression Profiling of Definitive Prostate Cancer Outcomes. National Cancer Institute Early Detection Research Network 9th Annual Scientific Workshop. (poster)</w:t>
      </w:r>
    </w:p>
    <w:p w14:paraId="0F4207D3" w14:textId="77777777" w:rsidR="00113CFD" w:rsidRDefault="0050407A">
      <w:pPr>
        <w:ind w:left="720" w:hanging="720"/>
        <w:rPr>
          <w:b/>
        </w:rPr>
      </w:pPr>
      <w:r>
        <w:rPr>
          <w:b/>
        </w:rPr>
        <w:t>Publications</w:t>
      </w:r>
    </w:p>
    <w:p w14:paraId="7332E644" w14:textId="77777777" w:rsidR="00113CFD" w:rsidRDefault="0050407A">
      <w:pPr>
        <w:ind w:left="720" w:hanging="720"/>
      </w:pPr>
      <w:r>
        <w:lastRenderedPageBreak/>
        <w:t xml:space="preserve">Hariharan N, Ashcraft K, </w:t>
      </w:r>
      <w:proofErr w:type="spellStart"/>
      <w:r>
        <w:t>Svatek</w:t>
      </w:r>
      <w:proofErr w:type="spellEnd"/>
      <w:r>
        <w:t xml:space="preserve"> RS, </w:t>
      </w:r>
      <w:proofErr w:type="spellStart"/>
      <w:r>
        <w:t>Livi</w:t>
      </w:r>
      <w:proofErr w:type="spellEnd"/>
      <w:r>
        <w:t xml:space="preserve"> C, </w:t>
      </w:r>
      <w:r>
        <w:rPr>
          <w:b/>
        </w:rPr>
        <w:t>Wilson D</w:t>
      </w:r>
      <w:r>
        <w:t>, Kaushik D, Leach RJ and Johnson-</w:t>
      </w:r>
      <w:proofErr w:type="spellStart"/>
      <w:r>
        <w:t>Pais</w:t>
      </w:r>
      <w:proofErr w:type="spellEnd"/>
      <w:r>
        <w:t xml:space="preserve"> TL. Adipose tissue secreted factors alter bladder cancer cell migration. Journal of Obesity, 2018; 2018:9247864.</w:t>
      </w:r>
    </w:p>
    <w:p w14:paraId="02B8BCE3" w14:textId="77777777" w:rsidR="00113CFD" w:rsidRDefault="0050407A">
      <w:pPr>
        <w:ind w:left="720" w:hanging="720"/>
      </w:pPr>
      <w:r>
        <w:t xml:space="preserve">Liu Y, </w:t>
      </w:r>
      <w:r>
        <w:rPr>
          <w:b/>
        </w:rPr>
        <w:t>Wilson</w:t>
      </w:r>
      <w:r>
        <w:t xml:space="preserve"> D, Leach RJ, </w:t>
      </w:r>
      <w:proofErr w:type="gramStart"/>
      <w:r>
        <w:t>Chen</w:t>
      </w:r>
      <w:proofErr w:type="gramEnd"/>
      <w:r>
        <w:t xml:space="preserve"> Y. </w:t>
      </w:r>
      <w:proofErr w:type="spellStart"/>
      <w:r>
        <w:t>MBDDiff</w:t>
      </w:r>
      <w:proofErr w:type="spellEnd"/>
      <w:r>
        <w:t xml:space="preserve">: an R package designed specifically for processing </w:t>
      </w:r>
      <w:proofErr w:type="spellStart"/>
      <w:r>
        <w:t>MBDcap-seq</w:t>
      </w:r>
      <w:proofErr w:type="spellEnd"/>
      <w:r>
        <w:t xml:space="preserve"> datasets. BMC Genomics, 2016; 17(Suppl 4):432.</w:t>
      </w:r>
    </w:p>
    <w:p w14:paraId="0432FF73" w14:textId="77777777" w:rsidR="00113CFD" w:rsidRDefault="0050407A">
      <w:pPr>
        <w:ind w:left="720" w:hanging="720"/>
      </w:pPr>
      <w:r>
        <w:t xml:space="preserve">Wang Y, Jadhav RR, Liu J, </w:t>
      </w:r>
      <w:r>
        <w:rPr>
          <w:b/>
        </w:rPr>
        <w:t>Wilson D</w:t>
      </w:r>
      <w:r>
        <w:t xml:space="preserve">, Chen Y, Thompson IM, Troyer DA, Hernandez J, Shi H, Leach RJ, Huang TH, </w:t>
      </w:r>
      <w:proofErr w:type="spellStart"/>
      <w:r>
        <w:t>Jin</w:t>
      </w:r>
      <w:proofErr w:type="spellEnd"/>
      <w:r>
        <w:t xml:space="preserve"> VX. Roles of Distal and Genic Methylation in the Development of Prostate Tumorigenesis Revealed by Genome-wide DNA Methylation Analysis. Scientific Reports, 2016; 6:22051.</w:t>
      </w:r>
    </w:p>
    <w:p w14:paraId="337E8DFC" w14:textId="77777777" w:rsidR="00113CFD" w:rsidRDefault="0050407A">
      <w:pPr>
        <w:ind w:left="720" w:hanging="720"/>
      </w:pPr>
      <w:r>
        <w:t xml:space="preserve">Blackburn A, </w:t>
      </w:r>
      <w:r>
        <w:rPr>
          <w:b/>
        </w:rPr>
        <w:t>Wilson D,</w:t>
      </w:r>
      <w:r>
        <w:t xml:space="preserve"> </w:t>
      </w:r>
      <w:proofErr w:type="spellStart"/>
      <w:r>
        <w:t>Gelfond</w:t>
      </w:r>
      <w:proofErr w:type="spellEnd"/>
      <w:r>
        <w:t xml:space="preserve"> J, Yao L, Hernandez J, Thompson IM, Leach RJ, Lehman DM. Validation of copy number variants associated with prostate cancer risk and prognosis. Urologic Oncology, 2014; Jan</w:t>
      </w:r>
      <w:proofErr w:type="gramStart"/>
      <w:r>
        <w:t>;32</w:t>
      </w:r>
      <w:proofErr w:type="gramEnd"/>
      <w:r>
        <w:t xml:space="preserve">(1):44.e15-20 </w:t>
      </w:r>
    </w:p>
    <w:p w14:paraId="1919D7A7" w14:textId="77777777" w:rsidR="00113CFD" w:rsidRDefault="0050407A">
      <w:pPr>
        <w:ind w:left="720" w:hanging="720"/>
        <w:rPr>
          <w:b/>
        </w:rPr>
      </w:pPr>
      <w:r>
        <w:t xml:space="preserve">Vishwamitra D, Shi P, </w:t>
      </w:r>
      <w:r>
        <w:rPr>
          <w:b/>
        </w:rPr>
        <w:t>Wilson D</w:t>
      </w:r>
      <w:r>
        <w:t xml:space="preserve">, </w:t>
      </w:r>
      <w:proofErr w:type="spellStart"/>
      <w:r>
        <w:t>Manshouri</w:t>
      </w:r>
      <w:proofErr w:type="spellEnd"/>
      <w:r>
        <w:t xml:space="preserve"> R, Vega F, </w:t>
      </w:r>
      <w:proofErr w:type="spellStart"/>
      <w:r>
        <w:t>Schlette</w:t>
      </w:r>
      <w:proofErr w:type="spellEnd"/>
      <w:r>
        <w:t xml:space="preserve"> EJ, Amin HM. </w:t>
      </w:r>
      <w:hyperlink r:id="rId4">
        <w:r>
          <w:t>MicroRNA 96 is a post-transcriptional suppressor of anaplastic lymphoma kinase expression.</w:t>
        </w:r>
      </w:hyperlink>
      <w:r>
        <w:t xml:space="preserve">  The American Journal of Pathology, 2012; 180(5):1772-1780.</w:t>
      </w:r>
    </w:p>
    <w:p w14:paraId="0F72E778" w14:textId="77777777" w:rsidR="00113CFD" w:rsidRDefault="0050407A">
      <w:pPr>
        <w:ind w:left="720" w:hanging="720"/>
      </w:pPr>
      <w:r>
        <w:t xml:space="preserve">Vishwamitra D, Li Y, </w:t>
      </w:r>
      <w:r>
        <w:rPr>
          <w:b/>
        </w:rPr>
        <w:t>Wilson D</w:t>
      </w:r>
      <w:r>
        <w:t xml:space="preserve">, </w:t>
      </w:r>
      <w:proofErr w:type="spellStart"/>
      <w:r>
        <w:t>Manshouri</w:t>
      </w:r>
      <w:proofErr w:type="spellEnd"/>
      <w:r>
        <w:t xml:space="preserve"> R, Curry CV, Shi B, Tang XM, Sheehan AM, </w:t>
      </w:r>
      <w:proofErr w:type="spellStart"/>
      <w:r>
        <w:t>Wistuba</w:t>
      </w:r>
      <w:proofErr w:type="spellEnd"/>
      <w:r>
        <w:t xml:space="preserve"> II, Shi P, Amin HM. Expression and Effects of Inhibition of IGF-IR Tyrosine Kinase in Mantle Cell Lymphoma. </w:t>
      </w:r>
      <w:proofErr w:type="spellStart"/>
      <w:r>
        <w:t>Haematologica</w:t>
      </w:r>
      <w:proofErr w:type="spellEnd"/>
      <w:r>
        <w:t xml:space="preserve">, 2011; 96(6):871-880. </w:t>
      </w:r>
    </w:p>
    <w:p w14:paraId="46268E7E" w14:textId="77777777" w:rsidR="00113CFD" w:rsidRDefault="0050407A">
      <w:pPr>
        <w:rPr>
          <w:b/>
        </w:rPr>
      </w:pPr>
      <w:bookmarkStart w:id="2" w:name="_gjdgxs" w:colFirst="0" w:colLast="0"/>
      <w:bookmarkEnd w:id="2"/>
      <w:r>
        <w:rPr>
          <w:b/>
        </w:rPr>
        <w:t>Organizations</w:t>
      </w:r>
    </w:p>
    <w:tbl>
      <w:tblPr>
        <w:tblStyle w:val="a5"/>
        <w:tblW w:w="1090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2178"/>
        <w:gridCol w:w="8730"/>
      </w:tblGrid>
      <w:tr w:rsidR="00113CFD" w14:paraId="749276B0" w14:textId="77777777">
        <w:tc>
          <w:tcPr>
            <w:tcW w:w="2178" w:type="dxa"/>
          </w:tcPr>
          <w:p w14:paraId="50355A31" w14:textId="77777777" w:rsidR="00113CFD" w:rsidRDefault="0050407A">
            <w:r>
              <w:t>2012 to 2016</w:t>
            </w:r>
          </w:p>
        </w:tc>
        <w:tc>
          <w:tcPr>
            <w:tcW w:w="8730" w:type="dxa"/>
          </w:tcPr>
          <w:p w14:paraId="29D1E6DD" w14:textId="77777777" w:rsidR="00113CFD" w:rsidRDefault="0050407A">
            <w:r>
              <w:t>Association for Computing Machinery (ACM).</w:t>
            </w:r>
          </w:p>
        </w:tc>
      </w:tr>
    </w:tbl>
    <w:p w14:paraId="31E025F0" w14:textId="77777777" w:rsidR="00113CFD" w:rsidRDefault="00113CFD"/>
    <w:p w14:paraId="7F1C4685" w14:textId="77777777" w:rsidR="00113CFD" w:rsidRDefault="00113CFD">
      <w:pPr>
        <w:spacing w:after="0"/>
      </w:pPr>
    </w:p>
    <w:sectPr w:rsidR="00113CF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113CFD"/>
    <w:rsid w:val="00093EB5"/>
    <w:rsid w:val="00113CFD"/>
    <w:rsid w:val="00123B5C"/>
    <w:rsid w:val="001A55D5"/>
    <w:rsid w:val="002C2F17"/>
    <w:rsid w:val="00303174"/>
    <w:rsid w:val="003666AF"/>
    <w:rsid w:val="003B6BE2"/>
    <w:rsid w:val="0050407A"/>
    <w:rsid w:val="00533DAE"/>
    <w:rsid w:val="00721C63"/>
    <w:rsid w:val="009A564E"/>
    <w:rsid w:val="00A1579A"/>
    <w:rsid w:val="00EF31B5"/>
    <w:rsid w:val="00F87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60F6"/>
  <w15:docId w15:val="{03D66315-1418-4AD2-A08D-E75128F2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bi.nlm.nih.gov/pubmed/22414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desiree.wilson</cp:lastModifiedBy>
  <cp:revision>6</cp:revision>
  <dcterms:created xsi:type="dcterms:W3CDTF">2019-12-18T16:00:00Z</dcterms:created>
  <dcterms:modified xsi:type="dcterms:W3CDTF">2020-01-22T16:00:00Z</dcterms:modified>
</cp:coreProperties>
</file>