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AC25F" w14:textId="00D7B393" w:rsidR="00745022" w:rsidRPr="00152868" w:rsidRDefault="00745022" w:rsidP="00152868">
      <w:pPr>
        <w:jc w:val="right"/>
        <w:outlineLvl w:val="0"/>
        <w:rPr>
          <w:rFonts w:ascii="Arial" w:hAnsi="Arial" w:cs="Arial"/>
        </w:rPr>
      </w:pPr>
      <w:r w:rsidRPr="00152868">
        <w:rPr>
          <w:rFonts w:ascii="Arial" w:hAnsi="Arial" w:cs="Arial"/>
          <w:b/>
        </w:rPr>
        <w:t xml:space="preserve">Chapter </w:t>
      </w:r>
      <w:r w:rsidR="001C34F7">
        <w:rPr>
          <w:rFonts w:ascii="Arial" w:hAnsi="Arial" w:cs="Arial"/>
          <w:b/>
        </w:rPr>
        <w:t>7</w:t>
      </w:r>
    </w:p>
    <w:p w14:paraId="134F6964" w14:textId="77777777" w:rsidR="00745022" w:rsidRPr="00152868" w:rsidRDefault="00745022" w:rsidP="00152868">
      <w:pPr>
        <w:jc w:val="right"/>
        <w:outlineLvl w:val="0"/>
        <w:rPr>
          <w:rFonts w:ascii="Arial" w:hAnsi="Arial" w:cs="Arial"/>
          <w:b/>
        </w:rPr>
      </w:pPr>
      <w:r w:rsidRPr="00152868">
        <w:rPr>
          <w:rFonts w:ascii="Arial" w:hAnsi="Arial" w:cs="Arial"/>
          <w:b/>
        </w:rPr>
        <w:t xml:space="preserve">Investments </w:t>
      </w:r>
    </w:p>
    <w:p w14:paraId="688AE19D" w14:textId="77777777" w:rsidR="00745022" w:rsidRDefault="00745022" w:rsidP="00152868">
      <w:pPr>
        <w:jc w:val="center"/>
        <w:outlineLvl w:val="0"/>
        <w:rPr>
          <w:rFonts w:ascii="Arial" w:hAnsi="Arial" w:cs="Arial"/>
          <w:b/>
        </w:rPr>
      </w:pPr>
    </w:p>
    <w:p w14:paraId="32FE3E65" w14:textId="77777777" w:rsidR="00745022" w:rsidRPr="00152868" w:rsidRDefault="00745022" w:rsidP="00152868">
      <w:pPr>
        <w:jc w:val="center"/>
        <w:outlineLvl w:val="0"/>
        <w:rPr>
          <w:rFonts w:ascii="Arial" w:hAnsi="Arial" w:cs="Arial"/>
          <w:b/>
        </w:rPr>
      </w:pPr>
      <w:r w:rsidRPr="00152868">
        <w:rPr>
          <w:rFonts w:ascii="Arial" w:hAnsi="Arial" w:cs="Arial"/>
          <w:b/>
        </w:rPr>
        <w:t>SOLUTIONS MANUAL</w:t>
      </w:r>
    </w:p>
    <w:p w14:paraId="5EAC73EB" w14:textId="77777777" w:rsidR="00745022" w:rsidRDefault="00745022" w:rsidP="00152868">
      <w:pPr>
        <w:rPr>
          <w:rFonts w:ascii="Arial" w:hAnsi="Arial" w:cs="Arial"/>
          <w:b/>
        </w:rPr>
      </w:pPr>
    </w:p>
    <w:p w14:paraId="18E7E64D" w14:textId="77777777" w:rsidR="00745022" w:rsidRPr="00152868" w:rsidRDefault="00745022" w:rsidP="002449E4">
      <w:pPr>
        <w:spacing w:line="360" w:lineRule="auto"/>
        <w:rPr>
          <w:rFonts w:ascii="Arial" w:hAnsi="Arial" w:cs="Arial"/>
          <w:b/>
          <w:caps/>
        </w:rPr>
      </w:pPr>
      <w:r w:rsidRPr="00152868">
        <w:rPr>
          <w:rFonts w:ascii="Arial" w:hAnsi="Arial" w:cs="Arial"/>
          <w:b/>
        </w:rPr>
        <w:t>Discussion Questions</w:t>
      </w:r>
    </w:p>
    <w:p w14:paraId="137AC8FB" w14:textId="37C155DE" w:rsidR="00745022" w:rsidRDefault="00745022" w:rsidP="00C04668">
      <w:pPr>
        <w:numPr>
          <w:ilvl w:val="0"/>
          <w:numId w:val="1"/>
        </w:numPr>
        <w:tabs>
          <w:tab w:val="left" w:pos="360"/>
        </w:tabs>
        <w:spacing w:after="120"/>
        <w:outlineLvl w:val="0"/>
      </w:pPr>
      <w:r>
        <w:t>[LO 1] Describe how interest income and dividend income are taxed</w:t>
      </w:r>
      <w:r w:rsidR="000C1A4C">
        <w:t xml:space="preserve">. </w:t>
      </w:r>
      <w:r>
        <w:t>What are the similarities and differences in their tax treatment?</w:t>
      </w:r>
    </w:p>
    <w:p w14:paraId="687CF0B7" w14:textId="77777777" w:rsidR="00745022" w:rsidRDefault="00745022" w:rsidP="0053200E">
      <w:pPr>
        <w:ind w:left="360"/>
        <w:outlineLvl w:val="0"/>
        <w:rPr>
          <w:i/>
        </w:rPr>
      </w:pPr>
      <w:r>
        <w:rPr>
          <w:i/>
        </w:rPr>
        <w:t xml:space="preserve">Because they are cash method taxpayers, </w:t>
      </w:r>
      <w:r w:rsidRPr="0053200E">
        <w:rPr>
          <w:i/>
        </w:rPr>
        <w:t>individual investors typically are taxed on interest and</w:t>
      </w:r>
      <w:r>
        <w:rPr>
          <w:i/>
        </w:rPr>
        <w:t xml:space="preserve"> </w:t>
      </w:r>
      <w:r w:rsidRPr="0053200E">
        <w:rPr>
          <w:i/>
        </w:rPr>
        <w:t>dividend</w:t>
      </w:r>
      <w:r>
        <w:rPr>
          <w:i/>
        </w:rPr>
        <w:t>s</w:t>
      </w:r>
      <w:r w:rsidRPr="0053200E">
        <w:rPr>
          <w:i/>
        </w:rPr>
        <w:t xml:space="preserve"> when they receive </w:t>
      </w:r>
      <w:r>
        <w:rPr>
          <w:i/>
        </w:rPr>
        <w:t>them</w:t>
      </w:r>
      <w:r w:rsidRPr="0053200E">
        <w:rPr>
          <w:i/>
        </w:rPr>
        <w:t>.</w:t>
      </w:r>
      <w:r>
        <w:rPr>
          <w:i/>
        </w:rPr>
        <w:t xml:space="preserve"> </w:t>
      </w:r>
      <w:r w:rsidRPr="00C04668">
        <w:rPr>
          <w:i/>
        </w:rPr>
        <w:t xml:space="preserve">However, interest </w:t>
      </w:r>
      <w:r>
        <w:rPr>
          <w:i/>
        </w:rPr>
        <w:t xml:space="preserve">income </w:t>
      </w:r>
      <w:r w:rsidRPr="00C04668">
        <w:rPr>
          <w:i/>
        </w:rPr>
        <w:t xml:space="preserve">is taxed using ordinary rates while </w:t>
      </w:r>
      <w:r>
        <w:rPr>
          <w:i/>
        </w:rPr>
        <w:t>qualified</w:t>
      </w:r>
      <w:r w:rsidRPr="00C04668">
        <w:rPr>
          <w:i/>
        </w:rPr>
        <w:t xml:space="preserve"> dividends are taxed at </w:t>
      </w:r>
      <w:r>
        <w:rPr>
          <w:i/>
        </w:rPr>
        <w:t xml:space="preserve">lower </w:t>
      </w:r>
      <w:r w:rsidRPr="00C04668">
        <w:rPr>
          <w:i/>
        </w:rPr>
        <w:t>capital gains rates.</w:t>
      </w:r>
    </w:p>
    <w:p w14:paraId="1C2B8AC7" w14:textId="77777777" w:rsidR="00745022" w:rsidRDefault="00745022" w:rsidP="00C04668">
      <w:pPr>
        <w:ind w:left="360"/>
        <w:outlineLvl w:val="0"/>
      </w:pPr>
    </w:p>
    <w:p w14:paraId="4D77B628" w14:textId="77777777" w:rsidR="00745022" w:rsidRDefault="00745022" w:rsidP="00C04668">
      <w:pPr>
        <w:numPr>
          <w:ilvl w:val="0"/>
          <w:numId w:val="1"/>
        </w:numPr>
        <w:tabs>
          <w:tab w:val="left" w:pos="360"/>
        </w:tabs>
        <w:spacing w:after="120"/>
        <w:outlineLvl w:val="0"/>
      </w:pPr>
      <w:r>
        <w:t>[LO 1] What is the underlying policy rationale for the current tax rules applicable to interest income and dividend income?</w:t>
      </w:r>
    </w:p>
    <w:p w14:paraId="0493E969" w14:textId="1A545890" w:rsidR="00745022" w:rsidRPr="00C04668" w:rsidRDefault="00745022" w:rsidP="00C04668">
      <w:pPr>
        <w:ind w:left="360"/>
        <w:outlineLvl w:val="0"/>
        <w:rPr>
          <w:i/>
        </w:rPr>
      </w:pPr>
      <w:r w:rsidRPr="00C04668">
        <w:rPr>
          <w:i/>
        </w:rPr>
        <w:t>Interest and dividends are typically taxed annually when received because taxpayers have the wherewithal to pay the tax at that time</w:t>
      </w:r>
      <w:r w:rsidR="000C1A4C">
        <w:rPr>
          <w:i/>
        </w:rPr>
        <w:t xml:space="preserve">. </w:t>
      </w:r>
      <w:r w:rsidRPr="00C04668">
        <w:rPr>
          <w:i/>
        </w:rPr>
        <w:t>Interest income is taxed at ordinary rates because it is viewed as a less risky type of income compared to forms of income such as the expected appreciation in capital assets</w:t>
      </w:r>
      <w:r w:rsidR="000C1A4C">
        <w:rPr>
          <w:i/>
        </w:rPr>
        <w:t xml:space="preserve">. </w:t>
      </w:r>
      <w:r>
        <w:rPr>
          <w:i/>
        </w:rPr>
        <w:t>Qualified</w:t>
      </w:r>
      <w:r w:rsidRPr="00C04668">
        <w:rPr>
          <w:i/>
        </w:rPr>
        <w:t xml:space="preserve"> dividends are taxed at capital gains rates to mitigate the effect of double taxation on corporate earnings.</w:t>
      </w:r>
    </w:p>
    <w:p w14:paraId="396E228F" w14:textId="77777777" w:rsidR="00745022" w:rsidRDefault="00745022" w:rsidP="00C04668">
      <w:pPr>
        <w:tabs>
          <w:tab w:val="left" w:pos="360"/>
        </w:tabs>
        <w:spacing w:after="120"/>
        <w:outlineLvl w:val="0"/>
      </w:pPr>
    </w:p>
    <w:p w14:paraId="51309161" w14:textId="77777777" w:rsidR="00745022" w:rsidRDefault="00745022" w:rsidP="00C04668">
      <w:pPr>
        <w:numPr>
          <w:ilvl w:val="0"/>
          <w:numId w:val="1"/>
        </w:numPr>
        <w:tabs>
          <w:tab w:val="left" w:pos="360"/>
        </w:tabs>
        <w:spacing w:after="120"/>
        <w:outlineLvl w:val="0"/>
      </w:pPr>
      <w:r>
        <w:t>[LO 1] Compare and contrast the tax treatment of interest from a Treasury bond and qualified dividends from corporate stock.</w:t>
      </w:r>
    </w:p>
    <w:p w14:paraId="4F461060" w14:textId="1F082E03" w:rsidR="00745022" w:rsidRPr="00C04668" w:rsidRDefault="00A45760" w:rsidP="00C04668">
      <w:pPr>
        <w:ind w:left="360"/>
        <w:outlineLvl w:val="0"/>
        <w:rPr>
          <w:i/>
        </w:rPr>
      </w:pPr>
      <w:r>
        <w:rPr>
          <w:i/>
        </w:rPr>
        <w:t xml:space="preserve">For </w:t>
      </w:r>
      <w:r w:rsidRPr="00C04668">
        <w:rPr>
          <w:i/>
        </w:rPr>
        <w:t>cash method taxpayers</w:t>
      </w:r>
      <w:r>
        <w:rPr>
          <w:i/>
        </w:rPr>
        <w:t>,</w:t>
      </w:r>
      <w:r w:rsidRPr="00C04668">
        <w:rPr>
          <w:i/>
        </w:rPr>
        <w:t xml:space="preserve"> </w:t>
      </w:r>
      <w:r>
        <w:rPr>
          <w:i/>
        </w:rPr>
        <w:t>b</w:t>
      </w:r>
      <w:r w:rsidR="00745022" w:rsidRPr="00C04668">
        <w:rPr>
          <w:i/>
        </w:rPr>
        <w:t xml:space="preserve">oth the interest from </w:t>
      </w:r>
      <w:r w:rsidR="00745022">
        <w:rPr>
          <w:i/>
        </w:rPr>
        <w:t>T</w:t>
      </w:r>
      <w:r w:rsidR="00745022" w:rsidRPr="00C04668">
        <w:rPr>
          <w:i/>
        </w:rPr>
        <w:t>reasury bonds and dividends are taxed in the year they are received</w:t>
      </w:r>
      <w:r w:rsidR="000C1A4C">
        <w:rPr>
          <w:i/>
        </w:rPr>
        <w:t xml:space="preserve">. </w:t>
      </w:r>
      <w:r w:rsidR="00745022" w:rsidRPr="00C04668">
        <w:rPr>
          <w:i/>
        </w:rPr>
        <w:t xml:space="preserve">However, interest is taxed using ordinary rates while </w:t>
      </w:r>
      <w:r w:rsidR="00745022">
        <w:rPr>
          <w:i/>
        </w:rPr>
        <w:t>qualified</w:t>
      </w:r>
      <w:r w:rsidR="00745022" w:rsidRPr="00C04668">
        <w:rPr>
          <w:i/>
        </w:rPr>
        <w:t xml:space="preserve"> dividends are taxed at </w:t>
      </w:r>
      <w:r w:rsidR="00745022">
        <w:rPr>
          <w:i/>
        </w:rPr>
        <w:t xml:space="preserve">lower </w:t>
      </w:r>
      <w:r w:rsidR="00745022" w:rsidRPr="00C04668">
        <w:rPr>
          <w:i/>
        </w:rPr>
        <w:t>capital gains rates</w:t>
      </w:r>
      <w:r w:rsidR="000C1A4C">
        <w:rPr>
          <w:i/>
        </w:rPr>
        <w:t xml:space="preserve">. </w:t>
      </w:r>
      <w:r w:rsidR="00745022" w:rsidRPr="00C04668">
        <w:rPr>
          <w:i/>
        </w:rPr>
        <w:t>An additional difference between these types of income relates to their state income tax treatment</w:t>
      </w:r>
      <w:r w:rsidR="000C1A4C">
        <w:rPr>
          <w:i/>
        </w:rPr>
        <w:t xml:space="preserve">. </w:t>
      </w:r>
      <w:r w:rsidR="00745022" w:rsidRPr="00C04668">
        <w:rPr>
          <w:i/>
        </w:rPr>
        <w:t xml:space="preserve">The interest from </w:t>
      </w:r>
      <w:r w:rsidR="00745022">
        <w:rPr>
          <w:i/>
        </w:rPr>
        <w:t>Treasury</w:t>
      </w:r>
      <w:r w:rsidR="00745022" w:rsidRPr="00C04668">
        <w:rPr>
          <w:i/>
        </w:rPr>
        <w:t xml:space="preserve"> bonds is exempt from state income taxes while dividends are subject to state income taxes.</w:t>
      </w:r>
    </w:p>
    <w:p w14:paraId="4DEF206B" w14:textId="77777777" w:rsidR="00745022" w:rsidRDefault="00745022" w:rsidP="00C04668">
      <w:pPr>
        <w:tabs>
          <w:tab w:val="left" w:pos="360"/>
        </w:tabs>
        <w:spacing w:after="120"/>
        <w:outlineLvl w:val="0"/>
      </w:pPr>
    </w:p>
    <w:p w14:paraId="69BB9823" w14:textId="77777777" w:rsidR="00745022" w:rsidRDefault="00745022" w:rsidP="00C04668">
      <w:pPr>
        <w:numPr>
          <w:ilvl w:val="0"/>
          <w:numId w:val="1"/>
        </w:numPr>
        <w:tabs>
          <w:tab w:val="left" w:pos="360"/>
        </w:tabs>
        <w:spacing w:after="120"/>
        <w:outlineLvl w:val="0"/>
      </w:pPr>
      <w:r>
        <w:t xml:space="preserve">[LO 1] </w:t>
      </w:r>
      <w:r w:rsidRPr="005E2324">
        <w:t xml:space="preserve">How are </w:t>
      </w:r>
      <w:r>
        <w:t>Treasury</w:t>
      </w:r>
      <w:r w:rsidRPr="005E2324">
        <w:t xml:space="preserve"> notes and </w:t>
      </w:r>
      <w:r>
        <w:t xml:space="preserve">Treasury </w:t>
      </w:r>
      <w:r w:rsidRPr="005E2324">
        <w:t>bonds treated for federal and state income tax purposes?</w:t>
      </w:r>
    </w:p>
    <w:p w14:paraId="5CC86CCD" w14:textId="17D9E26A" w:rsidR="00745022" w:rsidRDefault="00745022" w:rsidP="00DB469F">
      <w:pPr>
        <w:ind w:left="360"/>
        <w:outlineLvl w:val="0"/>
        <w:rPr>
          <w:i/>
        </w:rPr>
      </w:pPr>
      <w:r>
        <w:rPr>
          <w:i/>
        </w:rPr>
        <w:t>Generally, i</w:t>
      </w:r>
      <w:r w:rsidRPr="00DB469F">
        <w:rPr>
          <w:i/>
        </w:rPr>
        <w:t xml:space="preserve">nterest from </w:t>
      </w:r>
      <w:r>
        <w:rPr>
          <w:i/>
        </w:rPr>
        <w:t>T</w:t>
      </w:r>
      <w:r w:rsidRPr="00DB469F">
        <w:rPr>
          <w:i/>
        </w:rPr>
        <w:t>reasury bonds and notes is taxed annually as it is received at ordinary rates for federal income tax purposes</w:t>
      </w:r>
      <w:r w:rsidR="000C1A4C">
        <w:rPr>
          <w:i/>
        </w:rPr>
        <w:t xml:space="preserve">. </w:t>
      </w:r>
      <w:r w:rsidRPr="00DB469F">
        <w:rPr>
          <w:i/>
        </w:rPr>
        <w:t xml:space="preserve">However, interest from </w:t>
      </w:r>
      <w:r>
        <w:rPr>
          <w:i/>
        </w:rPr>
        <w:t>Treasury</w:t>
      </w:r>
      <w:r w:rsidRPr="00DB469F">
        <w:rPr>
          <w:i/>
        </w:rPr>
        <w:t xml:space="preserve"> </w:t>
      </w:r>
      <w:r>
        <w:rPr>
          <w:i/>
        </w:rPr>
        <w:t xml:space="preserve">bonds and </w:t>
      </w:r>
      <w:r w:rsidR="00052D98">
        <w:rPr>
          <w:i/>
        </w:rPr>
        <w:t xml:space="preserve">Treasury </w:t>
      </w:r>
      <w:r>
        <w:rPr>
          <w:i/>
        </w:rPr>
        <w:t>notes</w:t>
      </w:r>
      <w:r w:rsidRPr="00DB469F">
        <w:rPr>
          <w:i/>
        </w:rPr>
        <w:t xml:space="preserve"> is exempt from state income taxes.</w:t>
      </w:r>
    </w:p>
    <w:p w14:paraId="1002D881" w14:textId="77777777" w:rsidR="00745022" w:rsidRDefault="00745022" w:rsidP="00DB469F">
      <w:pPr>
        <w:ind w:left="360"/>
        <w:outlineLvl w:val="0"/>
        <w:rPr>
          <w:i/>
        </w:rPr>
      </w:pPr>
    </w:p>
    <w:p w14:paraId="58389325" w14:textId="1A834240" w:rsidR="00745022" w:rsidRDefault="00745022" w:rsidP="00DB469F">
      <w:pPr>
        <w:ind w:left="360"/>
        <w:outlineLvl w:val="0"/>
        <w:rPr>
          <w:i/>
        </w:rPr>
      </w:pPr>
      <w:r>
        <w:rPr>
          <w:i/>
        </w:rPr>
        <w:t>Treasury</w:t>
      </w:r>
      <w:r w:rsidRPr="003C2395">
        <w:rPr>
          <w:i/>
        </w:rPr>
        <w:t xml:space="preserve"> bonds and </w:t>
      </w:r>
      <w:r>
        <w:rPr>
          <w:i/>
        </w:rPr>
        <w:t>Treasury</w:t>
      </w:r>
      <w:r w:rsidRPr="003C2395">
        <w:rPr>
          <w:i/>
        </w:rPr>
        <w:t xml:space="preserve"> notes are issued at maturity value, at a discount, or at a premium, depending on prevailing interest rates.</w:t>
      </w:r>
      <w:r>
        <w:rPr>
          <w:i/>
        </w:rPr>
        <w:t xml:space="preserve"> Treasury</w:t>
      </w:r>
      <w:r w:rsidRPr="003C2395">
        <w:rPr>
          <w:i/>
        </w:rPr>
        <w:t xml:space="preserve"> bonds and </w:t>
      </w:r>
      <w:r>
        <w:rPr>
          <w:i/>
        </w:rPr>
        <w:t>Treasury</w:t>
      </w:r>
      <w:r w:rsidRPr="003C2395">
        <w:rPr>
          <w:i/>
        </w:rPr>
        <w:t xml:space="preserve"> notes pay a stated rate of interest semiannuall</w:t>
      </w:r>
      <w:r>
        <w:rPr>
          <w:i/>
        </w:rPr>
        <w:t xml:space="preserve">y. When Treasury bonds and </w:t>
      </w:r>
      <w:r w:rsidR="00052D98">
        <w:rPr>
          <w:i/>
        </w:rPr>
        <w:t xml:space="preserve">Treasury </w:t>
      </w:r>
      <w:r>
        <w:rPr>
          <w:i/>
        </w:rPr>
        <w:t>notes are either issued or subsequently purchased at either a premium or discount, special rules apply</w:t>
      </w:r>
      <w:r w:rsidR="000C1A4C">
        <w:rPr>
          <w:i/>
        </w:rPr>
        <w:t xml:space="preserve">. </w:t>
      </w:r>
      <w:r>
        <w:rPr>
          <w:i/>
        </w:rPr>
        <w:t>Specifically, taxpayers may elect to amortize the premium to reduce the amount of interest currently reported</w:t>
      </w:r>
      <w:r w:rsidR="000C1A4C">
        <w:rPr>
          <w:i/>
        </w:rPr>
        <w:t xml:space="preserve">. </w:t>
      </w:r>
      <w:r>
        <w:rPr>
          <w:i/>
        </w:rPr>
        <w:t>To the extent taxpayers amortize the premium, they reduce the tax basis in the related bond or note</w:t>
      </w:r>
      <w:r w:rsidR="000C1A4C">
        <w:rPr>
          <w:i/>
        </w:rPr>
        <w:t xml:space="preserve">. </w:t>
      </w:r>
      <w:r>
        <w:rPr>
          <w:i/>
        </w:rPr>
        <w:t xml:space="preserve">If a portion of the premium is unamortized (either because the election to amortize the premium was not made or </w:t>
      </w:r>
      <w:r>
        <w:rPr>
          <w:i/>
        </w:rPr>
        <w:lastRenderedPageBreak/>
        <w:t>because the bond is sold prior to maturity), the unamortized premium remains part of the tax basis of the bond or note and affects the amount of capital gain or loss taxpayers recognize when the bond or note is sold or when it matures.</w:t>
      </w:r>
    </w:p>
    <w:p w14:paraId="0D71DAD2" w14:textId="77777777" w:rsidR="00745022" w:rsidRDefault="00745022" w:rsidP="00DB469F">
      <w:pPr>
        <w:ind w:left="360"/>
        <w:outlineLvl w:val="0"/>
        <w:rPr>
          <w:i/>
        </w:rPr>
      </w:pPr>
    </w:p>
    <w:p w14:paraId="63E45EBD" w14:textId="30D63A18" w:rsidR="00745022" w:rsidRPr="00DB469F" w:rsidRDefault="00745022" w:rsidP="00DB469F">
      <w:pPr>
        <w:ind w:left="360"/>
        <w:outlineLvl w:val="0"/>
        <w:rPr>
          <w:i/>
        </w:rPr>
      </w:pPr>
      <w:r>
        <w:rPr>
          <w:i/>
        </w:rPr>
        <w:t>Original issue discount must be amortized and included in gross income in addition to any interest payments taxpayers actually receive</w:t>
      </w:r>
      <w:r w:rsidR="000C1A4C">
        <w:rPr>
          <w:i/>
        </w:rPr>
        <w:t xml:space="preserve">. </w:t>
      </w:r>
      <w:r>
        <w:rPr>
          <w:i/>
        </w:rPr>
        <w:t>Also, the tax basis of a bond or note is increased by the amount of original issue discount amortized into income</w:t>
      </w:r>
      <w:r w:rsidR="000C1A4C">
        <w:rPr>
          <w:i/>
        </w:rPr>
        <w:t xml:space="preserve">. </w:t>
      </w:r>
      <w:r>
        <w:rPr>
          <w:i/>
        </w:rPr>
        <w:t>In contrast, market discount is not amortized into income unless taxpayers elect to do so</w:t>
      </w:r>
      <w:r w:rsidR="000C1A4C">
        <w:rPr>
          <w:i/>
        </w:rPr>
        <w:t xml:space="preserve">. </w:t>
      </w:r>
      <w:r>
        <w:rPr>
          <w:i/>
        </w:rPr>
        <w:t xml:space="preserve">Rather, the market discount that would have been amortized into income (on an annual basis using a </w:t>
      </w:r>
      <w:r w:rsidR="007B09B7">
        <w:rPr>
          <w:i/>
        </w:rPr>
        <w:t>straight-line</w:t>
      </w:r>
      <w:r>
        <w:rPr>
          <w:i/>
        </w:rPr>
        <w:t xml:space="preserve"> method) if the taxpayer had elected to amortize the market discount into income is treated as ordinary income when the bond or note is sold or when it matures</w:t>
      </w:r>
      <w:r w:rsidR="000C1A4C">
        <w:rPr>
          <w:i/>
        </w:rPr>
        <w:t xml:space="preserve">. </w:t>
      </w:r>
    </w:p>
    <w:p w14:paraId="4B135832" w14:textId="77777777" w:rsidR="00745022" w:rsidRDefault="00745022" w:rsidP="00C04668">
      <w:pPr>
        <w:tabs>
          <w:tab w:val="left" w:pos="360"/>
        </w:tabs>
        <w:spacing w:after="120"/>
        <w:outlineLvl w:val="0"/>
      </w:pPr>
    </w:p>
    <w:p w14:paraId="402B4058" w14:textId="77777777" w:rsidR="00745022" w:rsidRDefault="00745022" w:rsidP="00C04668">
      <w:pPr>
        <w:numPr>
          <w:ilvl w:val="0"/>
          <w:numId w:val="1"/>
        </w:numPr>
        <w:tabs>
          <w:tab w:val="left" w:pos="360"/>
        </w:tabs>
        <w:spacing w:after="120"/>
        <w:outlineLvl w:val="0"/>
      </w:pPr>
      <w:r>
        <w:t xml:space="preserve">[LO 1] </w:t>
      </w:r>
      <w:r w:rsidRPr="0048672C">
        <w:t>Why</w:t>
      </w:r>
      <w:r>
        <w:t xml:space="preserve"> would taxpayers generally prefer the tax treatment of market discount to the treatment of original issue discount on corporate bonds?</w:t>
      </w:r>
    </w:p>
    <w:p w14:paraId="56504310" w14:textId="69DFD7D8" w:rsidR="00745022" w:rsidRDefault="00745022" w:rsidP="0048672C">
      <w:pPr>
        <w:tabs>
          <w:tab w:val="left" w:pos="360"/>
        </w:tabs>
        <w:spacing w:after="120"/>
        <w:ind w:left="360"/>
        <w:outlineLvl w:val="0"/>
        <w:rPr>
          <w:i/>
        </w:rPr>
      </w:pPr>
      <w:r w:rsidRPr="0048672C">
        <w:rPr>
          <w:i/>
        </w:rPr>
        <w:t>Taxpayers generally would prefer market discount to original issue discount on bonds because the ordinary income related to market discount is deferred until bonds are sold or until they mature</w:t>
      </w:r>
      <w:r w:rsidR="000C1A4C">
        <w:rPr>
          <w:i/>
        </w:rPr>
        <w:t xml:space="preserve">. </w:t>
      </w:r>
      <w:r w:rsidRPr="0048672C">
        <w:rPr>
          <w:i/>
        </w:rPr>
        <w:t xml:space="preserve">In contrast, taxpayers must report ordinary income from the amortization of original issue discount yearly until the </w:t>
      </w:r>
      <w:r>
        <w:rPr>
          <w:i/>
        </w:rPr>
        <w:t>bonds are</w:t>
      </w:r>
      <w:r w:rsidRPr="0048672C">
        <w:rPr>
          <w:i/>
        </w:rPr>
        <w:t xml:space="preserve"> sold or until</w:t>
      </w:r>
      <w:r>
        <w:rPr>
          <w:i/>
        </w:rPr>
        <w:t xml:space="preserve"> they </w:t>
      </w:r>
      <w:r w:rsidRPr="0048672C">
        <w:rPr>
          <w:i/>
        </w:rPr>
        <w:t xml:space="preserve">mature. </w:t>
      </w:r>
    </w:p>
    <w:p w14:paraId="6029A782" w14:textId="77777777" w:rsidR="00745022" w:rsidRDefault="00745022" w:rsidP="0048672C">
      <w:pPr>
        <w:tabs>
          <w:tab w:val="left" w:pos="360"/>
        </w:tabs>
        <w:spacing w:after="120"/>
        <w:ind w:left="360"/>
        <w:outlineLvl w:val="0"/>
      </w:pPr>
    </w:p>
    <w:p w14:paraId="390C193E" w14:textId="77777777" w:rsidR="00745022" w:rsidRDefault="00745022" w:rsidP="00C04668">
      <w:pPr>
        <w:numPr>
          <w:ilvl w:val="0"/>
          <w:numId w:val="1"/>
        </w:numPr>
        <w:tabs>
          <w:tab w:val="left" w:pos="360"/>
        </w:tabs>
        <w:spacing w:after="120"/>
        <w:outlineLvl w:val="0"/>
      </w:pPr>
      <w:r>
        <w:t xml:space="preserve">[LO 1] </w:t>
      </w:r>
      <w:r w:rsidRPr="0048672C">
        <w:t>In what</w:t>
      </w:r>
      <w:r>
        <w:t xml:space="preserve"> ways are U.S. savings bonds treated more favorably for tax purposes than corporate bonds?</w:t>
      </w:r>
    </w:p>
    <w:p w14:paraId="20313265" w14:textId="001983CB" w:rsidR="00745022" w:rsidRPr="008F4852" w:rsidRDefault="00745022" w:rsidP="00CD3F21">
      <w:pPr>
        <w:tabs>
          <w:tab w:val="left" w:pos="360"/>
        </w:tabs>
        <w:spacing w:after="120"/>
        <w:ind w:left="360"/>
        <w:outlineLvl w:val="0"/>
        <w:rPr>
          <w:i/>
        </w:rPr>
      </w:pPr>
      <w:r w:rsidRPr="008F4852">
        <w:rPr>
          <w:i/>
        </w:rPr>
        <w:t xml:space="preserve">U.S. Savings Bonds compare favorably with corporate bonds because any </w:t>
      </w:r>
      <w:r>
        <w:rPr>
          <w:i/>
        </w:rPr>
        <w:t xml:space="preserve">interest related to the </w:t>
      </w:r>
      <w:r w:rsidRPr="008F4852">
        <w:rPr>
          <w:i/>
        </w:rPr>
        <w:t xml:space="preserve">original issue discount on savings bonds is </w:t>
      </w:r>
      <w:r>
        <w:rPr>
          <w:i/>
        </w:rPr>
        <w:t>deferred until the</w:t>
      </w:r>
      <w:r w:rsidRPr="008F4852">
        <w:rPr>
          <w:i/>
        </w:rPr>
        <w:t xml:space="preserve"> savings bonds are cashed in</w:t>
      </w:r>
      <w:r w:rsidR="000C1A4C">
        <w:rPr>
          <w:i/>
        </w:rPr>
        <w:t xml:space="preserve">. </w:t>
      </w:r>
      <w:r w:rsidRPr="008F4852">
        <w:rPr>
          <w:i/>
        </w:rPr>
        <w:t xml:space="preserve">In comparison, any original issue discount on corporate bonds must be amortized and included in </w:t>
      </w:r>
      <w:r>
        <w:rPr>
          <w:i/>
        </w:rPr>
        <w:t xml:space="preserve">the </w:t>
      </w:r>
      <w:r w:rsidRPr="008F4852">
        <w:rPr>
          <w:i/>
        </w:rPr>
        <w:t>investor’s annual tax returns</w:t>
      </w:r>
      <w:r w:rsidR="000C1A4C">
        <w:rPr>
          <w:i/>
        </w:rPr>
        <w:t xml:space="preserve">. </w:t>
      </w:r>
    </w:p>
    <w:p w14:paraId="1A67227D" w14:textId="77777777" w:rsidR="00745022" w:rsidRDefault="00745022" w:rsidP="008F4852">
      <w:pPr>
        <w:tabs>
          <w:tab w:val="left" w:pos="360"/>
        </w:tabs>
        <w:spacing w:after="120"/>
        <w:ind w:left="360"/>
        <w:outlineLvl w:val="0"/>
        <w:rPr>
          <w:i/>
        </w:rPr>
      </w:pPr>
      <w:r w:rsidRPr="008F4852">
        <w:rPr>
          <w:i/>
        </w:rPr>
        <w:t>Also, interest from savings bonds use</w:t>
      </w:r>
      <w:r>
        <w:rPr>
          <w:i/>
        </w:rPr>
        <w:t>d</w:t>
      </w:r>
      <w:r w:rsidRPr="008F4852">
        <w:rPr>
          <w:i/>
        </w:rPr>
        <w:t xml:space="preserve"> to pay for qualifying educational expenses may be excluded entirely from income whereas interest from corporate bonds must eventually </w:t>
      </w:r>
      <w:r>
        <w:rPr>
          <w:i/>
        </w:rPr>
        <w:t>be reported</w:t>
      </w:r>
      <w:r w:rsidRPr="008F4852">
        <w:rPr>
          <w:i/>
        </w:rPr>
        <w:t>.</w:t>
      </w:r>
    </w:p>
    <w:p w14:paraId="01A2C811" w14:textId="77777777" w:rsidR="00745022" w:rsidRDefault="00745022" w:rsidP="008F4852">
      <w:pPr>
        <w:tabs>
          <w:tab w:val="left" w:pos="360"/>
        </w:tabs>
        <w:spacing w:after="120"/>
        <w:ind w:left="360"/>
        <w:outlineLvl w:val="0"/>
      </w:pPr>
      <w:r>
        <w:t xml:space="preserve">  </w:t>
      </w:r>
    </w:p>
    <w:p w14:paraId="5CE1DF8F" w14:textId="0E51F951" w:rsidR="00745022" w:rsidRDefault="00745022" w:rsidP="00C04668">
      <w:pPr>
        <w:numPr>
          <w:ilvl w:val="0"/>
          <w:numId w:val="1"/>
        </w:numPr>
        <w:tabs>
          <w:tab w:val="left" w:pos="360"/>
        </w:tabs>
        <w:spacing w:after="120"/>
        <w:outlineLvl w:val="0"/>
      </w:pPr>
      <w:r>
        <w:t xml:space="preserve">[LO 1] {Research, Planning} </w:t>
      </w:r>
      <w:r w:rsidRPr="00003AE0">
        <w:t>When should</w:t>
      </w:r>
      <w:r>
        <w:t xml:space="preserve"> investors consider making an election to amortize market discount on a bond into income annually? </w:t>
      </w:r>
      <w:r>
        <w:rPr>
          <w:i/>
        </w:rPr>
        <w:t>[</w:t>
      </w:r>
      <w:r w:rsidRPr="00B84417">
        <w:rPr>
          <w:i/>
        </w:rPr>
        <w:t>Hint: see §1278(b)</w:t>
      </w:r>
      <w:r>
        <w:rPr>
          <w:i/>
        </w:rPr>
        <w:t>]</w:t>
      </w:r>
    </w:p>
    <w:p w14:paraId="604A514E" w14:textId="77777777" w:rsidR="00745022" w:rsidRDefault="00745022" w:rsidP="00916853">
      <w:pPr>
        <w:tabs>
          <w:tab w:val="left" w:pos="360"/>
        </w:tabs>
        <w:spacing w:after="120"/>
        <w:ind w:left="360"/>
        <w:outlineLvl w:val="0"/>
        <w:rPr>
          <w:i/>
        </w:rPr>
      </w:pPr>
      <w:r>
        <w:rPr>
          <w:i/>
        </w:rPr>
        <w:t>A taxpayer</w:t>
      </w:r>
      <w:r w:rsidRPr="00177C73">
        <w:rPr>
          <w:i/>
        </w:rPr>
        <w:t xml:space="preserve"> may elect under</w:t>
      </w:r>
      <w:r>
        <w:rPr>
          <w:i/>
        </w:rPr>
        <w:t xml:space="preserve"> </w:t>
      </w:r>
      <w:r w:rsidRPr="00B84417">
        <w:rPr>
          <w:i/>
        </w:rPr>
        <w:t>§1278(b)</w:t>
      </w:r>
      <w:r>
        <w:rPr>
          <w:i/>
        </w:rPr>
        <w:t xml:space="preserve"> to amortize market discount on a bond into income currently (as ordinary income) rather than wait to recognize the accrued market discount as ordinary income when the bond is sold or matures. </w:t>
      </w:r>
    </w:p>
    <w:p w14:paraId="1E1E1945" w14:textId="6DE1AE0D" w:rsidR="00745022" w:rsidRDefault="00745022" w:rsidP="00916853">
      <w:pPr>
        <w:tabs>
          <w:tab w:val="left" w:pos="360"/>
        </w:tabs>
        <w:spacing w:after="120"/>
        <w:ind w:left="360"/>
        <w:outlineLvl w:val="0"/>
      </w:pPr>
      <w:r>
        <w:rPr>
          <w:i/>
        </w:rPr>
        <w:t xml:space="preserve"> Generally, this election makes sense when the taxpayer’s current marginal tax rate is expected to be significantly lower than the future marginal rate when the bond is sold or matures</w:t>
      </w:r>
      <w:r w:rsidR="000C1A4C">
        <w:rPr>
          <w:i/>
        </w:rPr>
        <w:t xml:space="preserve">. </w:t>
      </w:r>
    </w:p>
    <w:p w14:paraId="03BC302E" w14:textId="77777777" w:rsidR="00745022" w:rsidRDefault="00745022" w:rsidP="00DB469F">
      <w:pPr>
        <w:tabs>
          <w:tab w:val="left" w:pos="360"/>
        </w:tabs>
        <w:spacing w:after="120"/>
        <w:outlineLvl w:val="0"/>
      </w:pPr>
      <w:r>
        <w:tab/>
      </w:r>
    </w:p>
    <w:p w14:paraId="65910C75" w14:textId="7A56A980" w:rsidR="00745022" w:rsidRDefault="00745022" w:rsidP="00C04668">
      <w:pPr>
        <w:numPr>
          <w:ilvl w:val="0"/>
          <w:numId w:val="1"/>
        </w:numPr>
        <w:tabs>
          <w:tab w:val="left" w:pos="360"/>
        </w:tabs>
        <w:spacing w:after="120"/>
        <w:outlineLvl w:val="0"/>
      </w:pPr>
      <w:r>
        <w:lastRenderedPageBreak/>
        <w:t>[LO 1] Why might investors purchase interest-paying securities rather than dividend- paying stocks?</w:t>
      </w:r>
    </w:p>
    <w:p w14:paraId="0897C3BE" w14:textId="05DF287B" w:rsidR="006E0C2E" w:rsidRPr="006E0C2E" w:rsidRDefault="00745022" w:rsidP="006E0C2E">
      <w:pPr>
        <w:ind w:left="360"/>
        <w:outlineLvl w:val="0"/>
        <w:rPr>
          <w:i/>
        </w:rPr>
      </w:pPr>
      <w:r w:rsidRPr="00DB469F">
        <w:rPr>
          <w:i/>
        </w:rPr>
        <w:t>Non-tax considerations may play a role</w:t>
      </w:r>
      <w:r w:rsidR="000C1A4C">
        <w:rPr>
          <w:i/>
        </w:rPr>
        <w:t xml:space="preserve">. </w:t>
      </w:r>
      <w:r w:rsidRPr="00DB469F">
        <w:rPr>
          <w:i/>
        </w:rPr>
        <w:t xml:space="preserve">For example, investors may be willing to give up the tax rate benefit from receiving </w:t>
      </w:r>
      <w:r>
        <w:rPr>
          <w:i/>
        </w:rPr>
        <w:t xml:space="preserve">qualified </w:t>
      </w:r>
      <w:r w:rsidRPr="00DB469F">
        <w:rPr>
          <w:i/>
        </w:rPr>
        <w:t>dividend income in exchange for the certainty of receiving predicable interest payments.</w:t>
      </w:r>
      <w:r w:rsidR="006E0C2E">
        <w:rPr>
          <w:i/>
        </w:rPr>
        <w:t xml:space="preserve"> In addition, risk preferences might cause investors to prefer one investment over another. FDIC insurance guarantees the security of an investment in savings accounts and certificates of deposit up to a threshold amount; whereas, no guarantees exist for stock investments.</w:t>
      </w:r>
      <w:r w:rsidR="006E0C2E" w:rsidRPr="006E0C2E">
        <w:rPr>
          <w:i/>
        </w:rPr>
        <w:t xml:space="preserve"> </w:t>
      </w:r>
    </w:p>
    <w:p w14:paraId="413CFE54" w14:textId="77777777" w:rsidR="00745022" w:rsidRPr="00DB469F" w:rsidRDefault="00745022" w:rsidP="00DB469F">
      <w:pPr>
        <w:ind w:left="360"/>
        <w:outlineLvl w:val="0"/>
        <w:rPr>
          <w:i/>
        </w:rPr>
      </w:pPr>
    </w:p>
    <w:p w14:paraId="5BF5C018" w14:textId="77777777" w:rsidR="00745022" w:rsidRDefault="00745022" w:rsidP="00DB469F">
      <w:pPr>
        <w:tabs>
          <w:tab w:val="left" w:pos="360"/>
        </w:tabs>
        <w:spacing w:after="120"/>
        <w:outlineLvl w:val="0"/>
      </w:pPr>
    </w:p>
    <w:p w14:paraId="7DD741EA" w14:textId="77777777" w:rsidR="00745022" w:rsidRDefault="00745022" w:rsidP="00C04668">
      <w:pPr>
        <w:numPr>
          <w:ilvl w:val="0"/>
          <w:numId w:val="1"/>
        </w:numPr>
        <w:tabs>
          <w:tab w:val="left" w:pos="360"/>
        </w:tabs>
        <w:spacing w:after="120"/>
        <w:outlineLvl w:val="0"/>
      </w:pPr>
      <w:r>
        <w:t>[LO 1] Compare and contrast the tax treatment of dividend-paying stocks and growth stocks.</w:t>
      </w:r>
    </w:p>
    <w:p w14:paraId="4608AF1C" w14:textId="5D20AC42" w:rsidR="00745022" w:rsidRPr="00DB469F" w:rsidRDefault="00745022" w:rsidP="00DB469F">
      <w:pPr>
        <w:ind w:left="360"/>
        <w:outlineLvl w:val="0"/>
        <w:rPr>
          <w:i/>
        </w:rPr>
      </w:pPr>
      <w:r>
        <w:rPr>
          <w:i/>
        </w:rPr>
        <w:t>Qualified</w:t>
      </w:r>
      <w:r w:rsidRPr="00DB469F">
        <w:rPr>
          <w:i/>
        </w:rPr>
        <w:t xml:space="preserve"> dividends from dividend paying stocks and long-term capital gains from growth stocks are both taxed at favorable capital gains rates</w:t>
      </w:r>
      <w:r w:rsidR="000C1A4C">
        <w:rPr>
          <w:i/>
        </w:rPr>
        <w:t xml:space="preserve">. </w:t>
      </w:r>
      <w:r w:rsidRPr="00DB469F">
        <w:rPr>
          <w:i/>
        </w:rPr>
        <w:t>However, dividends are taxed when received in contrast to the appreciation in growth stocks</w:t>
      </w:r>
      <w:r w:rsidR="0072223E">
        <w:rPr>
          <w:i/>
        </w:rPr>
        <w:t>,</w:t>
      </w:r>
      <w:r w:rsidRPr="00DB469F">
        <w:rPr>
          <w:i/>
        </w:rPr>
        <w:t xml:space="preserve"> which is taxed only when growth stocks are sold.</w:t>
      </w:r>
      <w:r w:rsidR="006E0C2E">
        <w:rPr>
          <w:i/>
        </w:rPr>
        <w:t xml:space="preserve"> </w:t>
      </w:r>
      <w:r w:rsidR="006E0C2E" w:rsidRPr="006E0C2E">
        <w:rPr>
          <w:i/>
        </w:rPr>
        <w:t>All else equal</w:t>
      </w:r>
      <w:r w:rsidR="006E0C2E">
        <w:rPr>
          <w:i/>
        </w:rPr>
        <w:t>,</w:t>
      </w:r>
      <w:r w:rsidR="006E0C2E" w:rsidRPr="006E0C2E">
        <w:rPr>
          <w:i/>
        </w:rPr>
        <w:t xml:space="preserve"> growth stocks will have a higher after-tax rate of return because the tax is deferred into the future while dividend paying stocks are taxed annually.</w:t>
      </w:r>
    </w:p>
    <w:p w14:paraId="1018AB7E" w14:textId="77777777" w:rsidR="00745022" w:rsidRDefault="00745022" w:rsidP="00DB469F">
      <w:pPr>
        <w:tabs>
          <w:tab w:val="left" w:pos="360"/>
        </w:tabs>
        <w:spacing w:after="120"/>
        <w:ind w:left="360"/>
        <w:outlineLvl w:val="0"/>
      </w:pPr>
    </w:p>
    <w:p w14:paraId="1D77BF1E" w14:textId="77777777" w:rsidR="00745022" w:rsidRDefault="00745022" w:rsidP="00C04668">
      <w:pPr>
        <w:numPr>
          <w:ilvl w:val="0"/>
          <w:numId w:val="1"/>
        </w:numPr>
        <w:tabs>
          <w:tab w:val="left" w:pos="360"/>
        </w:tabs>
        <w:spacing w:after="120"/>
        <w:outlineLvl w:val="0"/>
      </w:pPr>
      <w:r>
        <w:t>[LO 2] What is the definition of a capital asset?  Give three examples of capital assets.</w:t>
      </w:r>
    </w:p>
    <w:p w14:paraId="15EB9A2C" w14:textId="77777777" w:rsidR="00745022" w:rsidRDefault="00745022" w:rsidP="00DB469F">
      <w:pPr>
        <w:ind w:left="360"/>
        <w:outlineLvl w:val="0"/>
        <w:rPr>
          <w:i/>
        </w:rPr>
      </w:pPr>
      <w:r w:rsidRPr="00DB469F">
        <w:rPr>
          <w:i/>
        </w:rPr>
        <w:t xml:space="preserve">In general, a capital asset is any asset other than an asset used in a trade or business (i.e., equipment, buildings, inventory, etc.), or accounts or notes receivable generated from the sale of services or property by a trade or business. </w:t>
      </w:r>
    </w:p>
    <w:p w14:paraId="0A864D46" w14:textId="77777777" w:rsidR="00745022" w:rsidRDefault="00745022" w:rsidP="00DB469F">
      <w:pPr>
        <w:ind w:left="360"/>
        <w:outlineLvl w:val="0"/>
        <w:rPr>
          <w:i/>
        </w:rPr>
      </w:pPr>
    </w:p>
    <w:p w14:paraId="5D4F2E40" w14:textId="497D34F2" w:rsidR="00745022" w:rsidRPr="00DB469F" w:rsidRDefault="00745022" w:rsidP="00DB469F">
      <w:pPr>
        <w:ind w:left="360"/>
        <w:outlineLvl w:val="0"/>
        <w:rPr>
          <w:i/>
        </w:rPr>
      </w:pPr>
      <w:r w:rsidRPr="00DB469F">
        <w:rPr>
          <w:i/>
        </w:rPr>
        <w:t xml:space="preserve"> Also, any property that is used for personal rather than business purposes is a capital asset. Examples of capital assets include investment assets such as corporate or governmental bonds, corporate stock, stocks in mutual funds, and land held for investment</w:t>
      </w:r>
      <w:r w:rsidR="000C1A4C">
        <w:rPr>
          <w:i/>
        </w:rPr>
        <w:t xml:space="preserve">. </w:t>
      </w:r>
      <w:r w:rsidRPr="00DB469F">
        <w:rPr>
          <w:i/>
        </w:rPr>
        <w:t>Personal assets such as automobiles, personal residences, golf clubs, book collections, and televisions are also capital assets.</w:t>
      </w:r>
    </w:p>
    <w:p w14:paraId="41AE3374" w14:textId="77777777" w:rsidR="00745022" w:rsidRDefault="00745022" w:rsidP="00DB469F">
      <w:pPr>
        <w:tabs>
          <w:tab w:val="left" w:pos="360"/>
        </w:tabs>
        <w:spacing w:after="120"/>
        <w:outlineLvl w:val="0"/>
      </w:pPr>
    </w:p>
    <w:p w14:paraId="52F8B9B0" w14:textId="77777777" w:rsidR="00745022" w:rsidRDefault="00745022" w:rsidP="00C04668">
      <w:pPr>
        <w:numPr>
          <w:ilvl w:val="0"/>
          <w:numId w:val="1"/>
        </w:numPr>
        <w:tabs>
          <w:tab w:val="left" w:pos="360"/>
        </w:tabs>
        <w:spacing w:after="120"/>
        <w:outlineLvl w:val="0"/>
      </w:pPr>
      <w:r>
        <w:t>[LO 2] Why does the tax law allow a taxpayer to defer gains accrued on a capital asset until the taxpayer actually sells the asset?</w:t>
      </w:r>
    </w:p>
    <w:p w14:paraId="2AF878E5" w14:textId="63650101" w:rsidR="00745022" w:rsidRDefault="00745022" w:rsidP="00DB469F">
      <w:pPr>
        <w:tabs>
          <w:tab w:val="left" w:pos="360"/>
        </w:tabs>
        <w:spacing w:after="120"/>
        <w:ind w:left="360"/>
        <w:outlineLvl w:val="0"/>
        <w:rPr>
          <w:i/>
        </w:rPr>
      </w:pPr>
      <w:r w:rsidRPr="00DB469F">
        <w:rPr>
          <w:i/>
        </w:rPr>
        <w:t>Taxpayers are allowed to defer accrued gains on capital assets until the date of sale because the investment doesn’t provide the wherewithal (i.e., cash) to pay the tax on the accrued gains until after it is sold</w:t>
      </w:r>
      <w:r w:rsidR="000C1A4C">
        <w:rPr>
          <w:i/>
        </w:rPr>
        <w:t xml:space="preserve">. </w:t>
      </w:r>
      <w:r w:rsidRPr="00DB469F">
        <w:rPr>
          <w:i/>
        </w:rPr>
        <w:t>When the taxpayer sells the asset, the investment should provide the cash necessary to pay the taxes due on the gain.</w:t>
      </w:r>
    </w:p>
    <w:p w14:paraId="1942A882" w14:textId="77777777" w:rsidR="00745022" w:rsidRDefault="00745022" w:rsidP="00DB469F">
      <w:pPr>
        <w:tabs>
          <w:tab w:val="left" w:pos="360"/>
        </w:tabs>
        <w:spacing w:after="120"/>
        <w:ind w:left="360"/>
        <w:outlineLvl w:val="0"/>
        <w:rPr>
          <w:i/>
        </w:rPr>
      </w:pPr>
    </w:p>
    <w:p w14:paraId="2D47495C" w14:textId="77777777" w:rsidR="00745022" w:rsidRDefault="00745022" w:rsidP="00C04668">
      <w:pPr>
        <w:numPr>
          <w:ilvl w:val="0"/>
          <w:numId w:val="1"/>
        </w:numPr>
        <w:tabs>
          <w:tab w:val="left" w:pos="360"/>
        </w:tabs>
        <w:spacing w:after="120"/>
        <w:outlineLvl w:val="0"/>
      </w:pPr>
      <w:r>
        <w:t>[LO 2] Why does the tax law provide preferential rates on certain capital gains?</w:t>
      </w:r>
    </w:p>
    <w:p w14:paraId="22D628DD" w14:textId="37AD4781" w:rsidR="00745022" w:rsidRPr="003F31AE" w:rsidRDefault="00745022" w:rsidP="003F31AE">
      <w:pPr>
        <w:ind w:left="360"/>
        <w:outlineLvl w:val="0"/>
        <w:rPr>
          <w:i/>
        </w:rPr>
      </w:pPr>
      <w:r w:rsidRPr="003F31AE">
        <w:rPr>
          <w:i/>
        </w:rPr>
        <w:t xml:space="preserve">Preferential tax rates apply to gains on the sale of certain capital assets (e.g., capital assets held for more than </w:t>
      </w:r>
      <w:r w:rsidR="007F7D09">
        <w:rPr>
          <w:i/>
        </w:rPr>
        <w:t>one</w:t>
      </w:r>
      <w:r w:rsidR="001B438E">
        <w:rPr>
          <w:i/>
        </w:rPr>
        <w:t xml:space="preserve"> </w:t>
      </w:r>
      <w:r w:rsidRPr="003F31AE">
        <w:rPr>
          <w:i/>
        </w:rPr>
        <w:t>year)</w:t>
      </w:r>
      <w:r w:rsidR="000C1A4C">
        <w:rPr>
          <w:i/>
        </w:rPr>
        <w:t xml:space="preserve">. </w:t>
      </w:r>
      <w:r w:rsidRPr="003F31AE">
        <w:rPr>
          <w:i/>
        </w:rPr>
        <w:t xml:space="preserve">Among other things, these preferential rates are meant to encourage taxpayers to invest in those assets and to hold those assets for the </w:t>
      </w:r>
      <w:r w:rsidRPr="003F31AE">
        <w:rPr>
          <w:i/>
        </w:rPr>
        <w:lastRenderedPageBreak/>
        <w:t>long term</w:t>
      </w:r>
      <w:r w:rsidR="000C1A4C">
        <w:rPr>
          <w:i/>
        </w:rPr>
        <w:t xml:space="preserve">. </w:t>
      </w:r>
      <w:r w:rsidRPr="003F31AE">
        <w:rPr>
          <w:i/>
        </w:rPr>
        <w:t>The government believes this will help the national economy by stimulating the demand for risky investments.</w:t>
      </w:r>
    </w:p>
    <w:p w14:paraId="6244DD59" w14:textId="77777777" w:rsidR="00745022" w:rsidRDefault="00745022" w:rsidP="003F31AE">
      <w:pPr>
        <w:tabs>
          <w:tab w:val="left" w:pos="360"/>
        </w:tabs>
        <w:spacing w:after="120"/>
        <w:outlineLvl w:val="0"/>
      </w:pPr>
    </w:p>
    <w:p w14:paraId="06EC864A" w14:textId="77777777" w:rsidR="00745022" w:rsidRDefault="00745022" w:rsidP="00C04668">
      <w:pPr>
        <w:numPr>
          <w:ilvl w:val="0"/>
          <w:numId w:val="1"/>
        </w:numPr>
        <w:tabs>
          <w:tab w:val="left" w:pos="360"/>
        </w:tabs>
        <w:spacing w:after="120"/>
        <w:outlineLvl w:val="0"/>
      </w:pPr>
      <w:r>
        <w:t>[LO 2] What is the deciding factor in determining whether a capital gain is a short-term or long-term capital gain?</w:t>
      </w:r>
    </w:p>
    <w:p w14:paraId="3AE86806" w14:textId="0D9CEA58" w:rsidR="00745022" w:rsidRDefault="0037042E" w:rsidP="006B1741">
      <w:pPr>
        <w:tabs>
          <w:tab w:val="left" w:pos="360"/>
        </w:tabs>
        <w:spacing w:after="120"/>
        <w:ind w:left="360"/>
        <w:outlineLvl w:val="0"/>
        <w:rPr>
          <w:i/>
        </w:rPr>
      </w:pPr>
      <w:r>
        <w:rPr>
          <w:i/>
        </w:rPr>
        <w:t xml:space="preserve">The deciding factor is the amount of time an asset has been held by the taxpayer. </w:t>
      </w:r>
      <w:r w:rsidR="00745022" w:rsidRPr="006B1741">
        <w:rPr>
          <w:i/>
        </w:rPr>
        <w:t xml:space="preserve">When a capital asset that has been held for more than </w:t>
      </w:r>
      <w:r w:rsidR="001B438E">
        <w:rPr>
          <w:i/>
        </w:rPr>
        <w:t>one</w:t>
      </w:r>
      <w:r w:rsidR="001B438E" w:rsidRPr="006B1741">
        <w:rPr>
          <w:i/>
        </w:rPr>
        <w:t xml:space="preserve"> year</w:t>
      </w:r>
      <w:r w:rsidR="00745022" w:rsidRPr="006B1741">
        <w:rPr>
          <w:i/>
        </w:rPr>
        <w:t xml:space="preserve"> is sold, it generates a long-term capital gain</w:t>
      </w:r>
      <w:r w:rsidR="000C1A4C">
        <w:rPr>
          <w:i/>
        </w:rPr>
        <w:t xml:space="preserve">. </w:t>
      </w:r>
      <w:r w:rsidR="00745022" w:rsidRPr="006B1741">
        <w:rPr>
          <w:i/>
        </w:rPr>
        <w:t xml:space="preserve">When it has been held for </w:t>
      </w:r>
      <w:r w:rsidR="001B438E">
        <w:rPr>
          <w:i/>
        </w:rPr>
        <w:t>one</w:t>
      </w:r>
      <w:r w:rsidR="001B438E" w:rsidRPr="006B1741">
        <w:rPr>
          <w:i/>
        </w:rPr>
        <w:t xml:space="preserve"> year</w:t>
      </w:r>
      <w:r w:rsidR="00745022" w:rsidRPr="006B1741">
        <w:rPr>
          <w:i/>
        </w:rPr>
        <w:t xml:space="preserve"> or less it generates a short</w:t>
      </w:r>
      <w:r w:rsidR="003A378B">
        <w:rPr>
          <w:i/>
        </w:rPr>
        <w:t>-</w:t>
      </w:r>
      <w:r w:rsidR="00745022" w:rsidRPr="006B1741">
        <w:rPr>
          <w:i/>
        </w:rPr>
        <w:t>term capital gain when sold.</w:t>
      </w:r>
    </w:p>
    <w:p w14:paraId="00EB8F4A" w14:textId="77777777" w:rsidR="00745022" w:rsidRPr="006B1741" w:rsidRDefault="00745022" w:rsidP="006B1741">
      <w:pPr>
        <w:tabs>
          <w:tab w:val="left" w:pos="360"/>
        </w:tabs>
        <w:spacing w:after="120"/>
        <w:ind w:left="360"/>
        <w:outlineLvl w:val="0"/>
        <w:rPr>
          <w:i/>
        </w:rPr>
      </w:pPr>
    </w:p>
    <w:p w14:paraId="67E4CCF1" w14:textId="77777777" w:rsidR="00745022" w:rsidRDefault="00745022" w:rsidP="00C04668">
      <w:pPr>
        <w:numPr>
          <w:ilvl w:val="0"/>
          <w:numId w:val="1"/>
        </w:numPr>
        <w:tabs>
          <w:tab w:val="left" w:pos="360"/>
        </w:tabs>
        <w:spacing w:after="120"/>
        <w:outlineLvl w:val="0"/>
      </w:pPr>
      <w:r>
        <w:t>[LO 2] What methods may taxpayers use to determine the adjusted basis of stock they have sold?</w:t>
      </w:r>
    </w:p>
    <w:p w14:paraId="4F972932" w14:textId="5892828C" w:rsidR="00745022" w:rsidRDefault="00745022" w:rsidP="006B1741">
      <w:pPr>
        <w:ind w:left="360"/>
        <w:outlineLvl w:val="0"/>
      </w:pPr>
      <w:r w:rsidRPr="006B1741">
        <w:rPr>
          <w:i/>
        </w:rPr>
        <w:t>Taxpayers can use the FIFO method to determine basis in the stock</w:t>
      </w:r>
      <w:r w:rsidR="000C1A4C">
        <w:rPr>
          <w:i/>
        </w:rPr>
        <w:t xml:space="preserve">. </w:t>
      </w:r>
      <w:r w:rsidRPr="006B1741">
        <w:rPr>
          <w:i/>
        </w:rPr>
        <w:t>That is, the first stock purchased (i.e., the stock the taxpayer has held for the longest time) is treated as though it is the first stock sold</w:t>
      </w:r>
      <w:r w:rsidR="000C1A4C">
        <w:rPr>
          <w:i/>
        </w:rPr>
        <w:t xml:space="preserve">. </w:t>
      </w:r>
      <w:r w:rsidRPr="006B1741">
        <w:rPr>
          <w:i/>
        </w:rPr>
        <w:t>Taxpayers can also use the specific identification method of determining the basis of the stock sold.</w:t>
      </w:r>
    </w:p>
    <w:p w14:paraId="75143AD4" w14:textId="77777777" w:rsidR="00745022" w:rsidRDefault="00745022" w:rsidP="006B1741">
      <w:pPr>
        <w:tabs>
          <w:tab w:val="left" w:pos="360"/>
        </w:tabs>
        <w:spacing w:after="120"/>
        <w:outlineLvl w:val="0"/>
      </w:pPr>
    </w:p>
    <w:p w14:paraId="2421C4CA" w14:textId="77777777" w:rsidR="00745022" w:rsidRDefault="00745022" w:rsidP="00C04668">
      <w:pPr>
        <w:numPr>
          <w:ilvl w:val="0"/>
          <w:numId w:val="1"/>
        </w:numPr>
        <w:tabs>
          <w:tab w:val="left" w:pos="360"/>
        </w:tabs>
        <w:spacing w:after="120"/>
        <w:outlineLvl w:val="0"/>
      </w:pPr>
      <w:r>
        <w:t>[LO 2] What tax rate applies to net short-term capital gains?</w:t>
      </w:r>
    </w:p>
    <w:p w14:paraId="3E8730E8" w14:textId="77777777" w:rsidR="00745022" w:rsidRDefault="00745022" w:rsidP="006B1741">
      <w:pPr>
        <w:tabs>
          <w:tab w:val="left" w:pos="360"/>
        </w:tabs>
        <w:spacing w:after="120"/>
        <w:ind w:firstLine="360"/>
        <w:outlineLvl w:val="0"/>
        <w:rPr>
          <w:i/>
        </w:rPr>
      </w:pPr>
      <w:r w:rsidRPr="006B1741">
        <w:rPr>
          <w:i/>
        </w:rPr>
        <w:t>Net short-term capital gains are taxed at the taxpayer’s ordinary tax rates.</w:t>
      </w:r>
    </w:p>
    <w:p w14:paraId="636BFE9C" w14:textId="77777777" w:rsidR="00745022" w:rsidRPr="006B1741" w:rsidRDefault="00745022" w:rsidP="006B1741">
      <w:pPr>
        <w:tabs>
          <w:tab w:val="left" w:pos="360"/>
        </w:tabs>
        <w:spacing w:after="120"/>
        <w:ind w:firstLine="360"/>
        <w:outlineLvl w:val="0"/>
        <w:rPr>
          <w:i/>
        </w:rPr>
      </w:pPr>
    </w:p>
    <w:p w14:paraId="411387B4" w14:textId="77777777" w:rsidR="00745022" w:rsidRDefault="00745022" w:rsidP="00C04668">
      <w:pPr>
        <w:numPr>
          <w:ilvl w:val="0"/>
          <w:numId w:val="1"/>
        </w:numPr>
        <w:tabs>
          <w:tab w:val="left" w:pos="360"/>
        </w:tabs>
        <w:spacing w:after="120"/>
        <w:outlineLvl w:val="0"/>
      </w:pPr>
      <w:r>
        <w:t>[LO 2] What limitations are placed on the deductibility of capital losses for individual taxpayers?</w:t>
      </w:r>
    </w:p>
    <w:p w14:paraId="2549E6D9" w14:textId="77777777" w:rsidR="00745022" w:rsidRPr="00240D6E" w:rsidRDefault="00745022" w:rsidP="006B1741">
      <w:pPr>
        <w:ind w:left="360"/>
        <w:outlineLvl w:val="0"/>
        <w:rPr>
          <w:i/>
        </w:rPr>
      </w:pPr>
      <w:r w:rsidRPr="006B1741">
        <w:rPr>
          <w:i/>
        </w:rPr>
        <w:t>Individual taxpayers with a net capital loss for the year may deduct up to $3,000 of the capital loss against ordinary income.</w:t>
      </w:r>
      <w:r>
        <w:rPr>
          <w:i/>
        </w:rPr>
        <w:t xml:space="preserve"> </w:t>
      </w:r>
      <w:r w:rsidRPr="00240D6E">
        <w:rPr>
          <w:i/>
        </w:rPr>
        <w:t>Taxpayers can deduct up to $3,000 ($1,500 if married filing separately) of net capital losses against ordinary income. Net capital losses in excess of $3,000 ($1,500 if married filing separately) retain their short or long-term character and are carried forward</w:t>
      </w:r>
      <w:r>
        <w:rPr>
          <w:i/>
        </w:rPr>
        <w:t>.</w:t>
      </w:r>
    </w:p>
    <w:p w14:paraId="1F29E03C" w14:textId="77777777" w:rsidR="00745022" w:rsidRDefault="00745022" w:rsidP="006B1741">
      <w:pPr>
        <w:tabs>
          <w:tab w:val="left" w:pos="360"/>
        </w:tabs>
        <w:spacing w:after="120"/>
        <w:outlineLvl w:val="0"/>
      </w:pPr>
    </w:p>
    <w:p w14:paraId="248C29A0" w14:textId="77777777" w:rsidR="00745022" w:rsidRDefault="00745022" w:rsidP="00C04668">
      <w:pPr>
        <w:numPr>
          <w:ilvl w:val="0"/>
          <w:numId w:val="1"/>
        </w:numPr>
        <w:tabs>
          <w:tab w:val="left" w:pos="360"/>
        </w:tabs>
        <w:spacing w:after="120"/>
        <w:outlineLvl w:val="0"/>
      </w:pPr>
      <w:r>
        <w:t>[LO 2] What happens to capital losses that are not deductible in the current year?</w:t>
      </w:r>
    </w:p>
    <w:p w14:paraId="3025B212" w14:textId="77777777" w:rsidR="00745022" w:rsidRPr="006B1741" w:rsidRDefault="00745022" w:rsidP="006B1741">
      <w:pPr>
        <w:ind w:left="360"/>
        <w:outlineLvl w:val="0"/>
        <w:rPr>
          <w:i/>
        </w:rPr>
      </w:pPr>
      <w:r w:rsidRPr="006B1741">
        <w:rPr>
          <w:i/>
        </w:rPr>
        <w:t>Individual capital losses that are not deducted in the current year are carried forward indefinitely</w:t>
      </w:r>
      <w:r>
        <w:rPr>
          <w:i/>
        </w:rPr>
        <w:t xml:space="preserve"> </w:t>
      </w:r>
      <w:r w:rsidRPr="00240D6E">
        <w:rPr>
          <w:i/>
        </w:rPr>
        <w:t>and treated as though they were incurred in the subsequent year.</w:t>
      </w:r>
    </w:p>
    <w:p w14:paraId="312D394D" w14:textId="77777777" w:rsidR="00745022" w:rsidRDefault="00745022" w:rsidP="006B1741">
      <w:pPr>
        <w:tabs>
          <w:tab w:val="left" w:pos="360"/>
        </w:tabs>
        <w:spacing w:after="120"/>
        <w:outlineLvl w:val="0"/>
      </w:pPr>
    </w:p>
    <w:p w14:paraId="2EFC13DE" w14:textId="77777777" w:rsidR="00745022" w:rsidRDefault="00745022" w:rsidP="00C04668">
      <w:pPr>
        <w:numPr>
          <w:ilvl w:val="0"/>
          <w:numId w:val="1"/>
        </w:numPr>
        <w:tabs>
          <w:tab w:val="left" w:pos="360"/>
        </w:tabs>
        <w:spacing w:after="120"/>
        <w:outlineLvl w:val="0"/>
      </w:pPr>
      <w:r>
        <w:t xml:space="preserve">[LO 2] </w:t>
      </w:r>
      <w:r w:rsidRPr="00C54A35">
        <w:t>Are all long-t</w:t>
      </w:r>
      <w:r>
        <w:t>erm capital gains taxable at the same maximum rate? If not, what rates may apply to long-term capital gains?</w:t>
      </w:r>
    </w:p>
    <w:p w14:paraId="7D1E4B66" w14:textId="2688B641" w:rsidR="00745022" w:rsidRDefault="00745022" w:rsidP="00C54A35">
      <w:pPr>
        <w:tabs>
          <w:tab w:val="left" w:pos="360"/>
        </w:tabs>
        <w:spacing w:after="120"/>
        <w:ind w:left="360"/>
        <w:outlineLvl w:val="0"/>
        <w:rPr>
          <w:i/>
        </w:rPr>
      </w:pPr>
      <w:r w:rsidRPr="00C54A35">
        <w:rPr>
          <w:i/>
        </w:rPr>
        <w:t xml:space="preserve">Long-term capital gains </w:t>
      </w:r>
      <w:r w:rsidR="00070836">
        <w:rPr>
          <w:i/>
        </w:rPr>
        <w:t>may be</w:t>
      </w:r>
      <w:r w:rsidR="00070836" w:rsidRPr="00C54A35">
        <w:rPr>
          <w:i/>
        </w:rPr>
        <w:t xml:space="preserve"> </w:t>
      </w:r>
      <w:r w:rsidRPr="00C54A35">
        <w:rPr>
          <w:i/>
        </w:rPr>
        <w:t xml:space="preserve">taxed at </w:t>
      </w:r>
      <w:r w:rsidR="00070836">
        <w:rPr>
          <w:i/>
        </w:rPr>
        <w:t>one of five different rates (0, 15, 20, 25, or 28 percent)</w:t>
      </w:r>
      <w:r w:rsidR="000C1A4C">
        <w:rPr>
          <w:i/>
        </w:rPr>
        <w:t xml:space="preserve">. </w:t>
      </w:r>
      <w:r w:rsidR="00070836">
        <w:rPr>
          <w:i/>
        </w:rPr>
        <w:t>U</w:t>
      </w:r>
      <w:r w:rsidRPr="00C54A35">
        <w:rPr>
          <w:i/>
        </w:rPr>
        <w:t xml:space="preserve">nrecaptured </w:t>
      </w:r>
      <w:r w:rsidRPr="00B84417">
        <w:rPr>
          <w:i/>
        </w:rPr>
        <w:t>§</w:t>
      </w:r>
      <w:r>
        <w:rPr>
          <w:i/>
        </w:rPr>
        <w:t>1250 gains from the sale of depreciable real estate investments are taxed at a 25</w:t>
      </w:r>
      <w:r w:rsidR="00C96282">
        <w:rPr>
          <w:i/>
        </w:rPr>
        <w:t xml:space="preserve"> percent </w:t>
      </w:r>
      <w:r>
        <w:rPr>
          <w:i/>
        </w:rPr>
        <w:t>maximum rate</w:t>
      </w:r>
      <w:r w:rsidR="00F52D5B">
        <w:rPr>
          <w:i/>
        </w:rPr>
        <w:t xml:space="preserve"> and</w:t>
      </w:r>
      <w:r>
        <w:rPr>
          <w:i/>
        </w:rPr>
        <w:t xml:space="preserve"> gains from collectibles held for more than one year are taxed at a 28</w:t>
      </w:r>
      <w:r w:rsidR="00C96282" w:rsidRPr="00C96282">
        <w:rPr>
          <w:i/>
        </w:rPr>
        <w:t xml:space="preserve"> </w:t>
      </w:r>
      <w:r w:rsidR="00C96282">
        <w:rPr>
          <w:i/>
        </w:rPr>
        <w:t xml:space="preserve">percent </w:t>
      </w:r>
      <w:r>
        <w:rPr>
          <w:i/>
        </w:rPr>
        <w:t>maximum rate</w:t>
      </w:r>
      <w:r w:rsidR="00F52D5B">
        <w:rPr>
          <w:i/>
        </w:rPr>
        <w:t xml:space="preserve">. </w:t>
      </w:r>
      <w:r w:rsidR="00070836">
        <w:rPr>
          <w:i/>
        </w:rPr>
        <w:t xml:space="preserve">The remaining long-term capital gains are taxed at 0, 15, or 20 percent depending on the taxpayer’s </w:t>
      </w:r>
      <w:r w:rsidR="00F52D5B">
        <w:rPr>
          <w:i/>
        </w:rPr>
        <w:t>filing status and taxable income</w:t>
      </w:r>
      <w:r w:rsidR="00070836">
        <w:rPr>
          <w:i/>
        </w:rPr>
        <w:t xml:space="preserve"> </w:t>
      </w:r>
      <w:r w:rsidR="00070836">
        <w:rPr>
          <w:i/>
        </w:rPr>
        <w:lastRenderedPageBreak/>
        <w:t>as follows:</w:t>
      </w:r>
    </w:p>
    <w:tbl>
      <w:tblPr>
        <w:tblpPr w:leftFromText="180" w:rightFromText="180" w:vertAnchor="text" w:horzAnchor="margin" w:tblpY="136"/>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2"/>
        <w:gridCol w:w="1790"/>
        <w:gridCol w:w="1790"/>
        <w:gridCol w:w="1790"/>
        <w:gridCol w:w="1818"/>
      </w:tblGrid>
      <w:tr w:rsidR="00F52D5B" w14:paraId="31A05B92" w14:textId="77777777" w:rsidTr="00F52D5B">
        <w:tc>
          <w:tcPr>
            <w:tcW w:w="1442" w:type="dxa"/>
            <w:tcBorders>
              <w:top w:val="single" w:sz="4" w:space="0" w:color="auto"/>
              <w:left w:val="single" w:sz="4" w:space="0" w:color="auto"/>
              <w:bottom w:val="single" w:sz="4" w:space="0" w:color="auto"/>
              <w:right w:val="single" w:sz="4" w:space="0" w:color="auto"/>
            </w:tcBorders>
          </w:tcPr>
          <w:p w14:paraId="29D7AC84" w14:textId="77777777" w:rsidR="00F52D5B" w:rsidRPr="00A34270" w:rsidRDefault="00F52D5B" w:rsidP="00F52D5B">
            <w:pPr>
              <w:spacing w:before="100" w:beforeAutospacing="1"/>
              <w:jc w:val="center"/>
              <w:rPr>
                <w:b/>
              </w:rPr>
            </w:pPr>
            <w:r w:rsidRPr="00A34270">
              <w:rPr>
                <w:b/>
              </w:rPr>
              <w:t>Preferential Tax Rates</w:t>
            </w:r>
          </w:p>
        </w:tc>
        <w:tc>
          <w:tcPr>
            <w:tcW w:w="7725" w:type="dxa"/>
            <w:gridSpan w:val="4"/>
            <w:tcBorders>
              <w:top w:val="single" w:sz="4" w:space="0" w:color="auto"/>
              <w:left w:val="single" w:sz="4" w:space="0" w:color="auto"/>
              <w:bottom w:val="single" w:sz="4" w:space="0" w:color="auto"/>
              <w:right w:val="single" w:sz="4" w:space="0" w:color="auto"/>
            </w:tcBorders>
          </w:tcPr>
          <w:p w14:paraId="5201FEFF" w14:textId="77777777" w:rsidR="00F52D5B" w:rsidRPr="00A34270" w:rsidRDefault="00F52D5B" w:rsidP="00F52D5B">
            <w:pPr>
              <w:spacing w:before="100" w:beforeAutospacing="1"/>
              <w:jc w:val="center"/>
              <w:rPr>
                <w:b/>
              </w:rPr>
            </w:pPr>
            <w:r>
              <w:rPr>
                <w:b/>
              </w:rPr>
              <w:t>Taxable Income by Filing Status</w:t>
            </w:r>
          </w:p>
        </w:tc>
      </w:tr>
      <w:tr w:rsidR="00F52D5B" w14:paraId="24EFF4DE" w14:textId="77777777" w:rsidTr="00F52D5B">
        <w:tc>
          <w:tcPr>
            <w:tcW w:w="1442" w:type="dxa"/>
            <w:tcBorders>
              <w:top w:val="single" w:sz="4" w:space="0" w:color="auto"/>
              <w:left w:val="single" w:sz="4" w:space="0" w:color="auto"/>
              <w:bottom w:val="single" w:sz="4" w:space="0" w:color="auto"/>
              <w:right w:val="single" w:sz="4" w:space="0" w:color="auto"/>
            </w:tcBorders>
            <w:hideMark/>
          </w:tcPr>
          <w:p w14:paraId="6FE5CF32" w14:textId="77777777" w:rsidR="00F52D5B" w:rsidRPr="00A34270" w:rsidRDefault="00F52D5B" w:rsidP="00F52D5B">
            <w:pPr>
              <w:spacing w:before="100" w:beforeAutospacing="1"/>
              <w:jc w:val="center"/>
              <w:rPr>
                <w:b/>
              </w:rPr>
            </w:pPr>
          </w:p>
        </w:tc>
        <w:tc>
          <w:tcPr>
            <w:tcW w:w="1926" w:type="dxa"/>
            <w:tcBorders>
              <w:top w:val="single" w:sz="4" w:space="0" w:color="auto"/>
              <w:left w:val="single" w:sz="4" w:space="0" w:color="auto"/>
              <w:bottom w:val="single" w:sz="4" w:space="0" w:color="auto"/>
              <w:right w:val="single" w:sz="4" w:space="0" w:color="auto"/>
            </w:tcBorders>
            <w:hideMark/>
          </w:tcPr>
          <w:p w14:paraId="5E4AA53A" w14:textId="77777777" w:rsidR="00F52D5B" w:rsidRPr="00A34270" w:rsidRDefault="00F52D5B" w:rsidP="00F52D5B">
            <w:pPr>
              <w:spacing w:before="100" w:beforeAutospacing="1"/>
              <w:jc w:val="center"/>
              <w:rPr>
                <w:b/>
              </w:rPr>
            </w:pPr>
            <w:r w:rsidRPr="00A34270">
              <w:rPr>
                <w:b/>
              </w:rPr>
              <w:t>Married Filing Joint</w:t>
            </w:r>
          </w:p>
        </w:tc>
        <w:tc>
          <w:tcPr>
            <w:tcW w:w="1926" w:type="dxa"/>
            <w:tcBorders>
              <w:top w:val="single" w:sz="4" w:space="0" w:color="auto"/>
              <w:left w:val="single" w:sz="4" w:space="0" w:color="auto"/>
              <w:bottom w:val="single" w:sz="4" w:space="0" w:color="auto"/>
              <w:right w:val="single" w:sz="4" w:space="0" w:color="auto"/>
            </w:tcBorders>
            <w:hideMark/>
          </w:tcPr>
          <w:p w14:paraId="70B189D8" w14:textId="77777777" w:rsidR="00F52D5B" w:rsidRPr="00A34270" w:rsidRDefault="00F52D5B" w:rsidP="00F52D5B">
            <w:pPr>
              <w:spacing w:before="100" w:beforeAutospacing="1"/>
              <w:jc w:val="center"/>
              <w:rPr>
                <w:b/>
              </w:rPr>
            </w:pPr>
            <w:r w:rsidRPr="00A34270">
              <w:rPr>
                <w:b/>
              </w:rPr>
              <w:t>Married Filing Separate</w:t>
            </w:r>
          </w:p>
        </w:tc>
        <w:tc>
          <w:tcPr>
            <w:tcW w:w="1926" w:type="dxa"/>
            <w:tcBorders>
              <w:top w:val="single" w:sz="4" w:space="0" w:color="auto"/>
              <w:left w:val="single" w:sz="4" w:space="0" w:color="auto"/>
              <w:bottom w:val="single" w:sz="4" w:space="0" w:color="auto"/>
              <w:right w:val="single" w:sz="4" w:space="0" w:color="auto"/>
            </w:tcBorders>
            <w:hideMark/>
          </w:tcPr>
          <w:p w14:paraId="66021342" w14:textId="77777777" w:rsidR="00F52D5B" w:rsidRPr="00A34270" w:rsidRDefault="00F52D5B" w:rsidP="00F52D5B">
            <w:pPr>
              <w:spacing w:before="100" w:beforeAutospacing="1"/>
              <w:jc w:val="center"/>
              <w:rPr>
                <w:b/>
              </w:rPr>
            </w:pPr>
            <w:r w:rsidRPr="00A34270">
              <w:rPr>
                <w:b/>
              </w:rPr>
              <w:t>Single</w:t>
            </w:r>
          </w:p>
        </w:tc>
        <w:tc>
          <w:tcPr>
            <w:tcW w:w="1947" w:type="dxa"/>
            <w:tcBorders>
              <w:top w:val="single" w:sz="4" w:space="0" w:color="auto"/>
              <w:left w:val="single" w:sz="4" w:space="0" w:color="auto"/>
              <w:bottom w:val="single" w:sz="4" w:space="0" w:color="auto"/>
              <w:right w:val="single" w:sz="4" w:space="0" w:color="auto"/>
            </w:tcBorders>
            <w:hideMark/>
          </w:tcPr>
          <w:p w14:paraId="78A9CB7A" w14:textId="77777777" w:rsidR="00F52D5B" w:rsidRPr="00A34270" w:rsidRDefault="00F52D5B" w:rsidP="00F52D5B">
            <w:pPr>
              <w:spacing w:before="100" w:beforeAutospacing="1"/>
              <w:jc w:val="center"/>
              <w:rPr>
                <w:b/>
              </w:rPr>
            </w:pPr>
            <w:r w:rsidRPr="00A34270">
              <w:rPr>
                <w:b/>
              </w:rPr>
              <w:t>Head of Household</w:t>
            </w:r>
          </w:p>
        </w:tc>
      </w:tr>
      <w:tr w:rsidR="00F52D5B" w14:paraId="579C43AF" w14:textId="77777777" w:rsidTr="00F52D5B">
        <w:tc>
          <w:tcPr>
            <w:tcW w:w="1442" w:type="dxa"/>
            <w:tcBorders>
              <w:top w:val="single" w:sz="4" w:space="0" w:color="auto"/>
              <w:left w:val="single" w:sz="4" w:space="0" w:color="auto"/>
              <w:bottom w:val="single" w:sz="4" w:space="0" w:color="auto"/>
              <w:right w:val="single" w:sz="4" w:space="0" w:color="auto"/>
            </w:tcBorders>
            <w:hideMark/>
          </w:tcPr>
          <w:p w14:paraId="2491B1B5" w14:textId="58C677B1" w:rsidR="00F52D5B" w:rsidRDefault="00F52D5B" w:rsidP="00F52D5B">
            <w:pPr>
              <w:spacing w:before="100" w:beforeAutospacing="1"/>
              <w:jc w:val="center"/>
            </w:pPr>
            <w:r>
              <w:t>0%</w:t>
            </w:r>
          </w:p>
        </w:tc>
        <w:tc>
          <w:tcPr>
            <w:tcW w:w="1926" w:type="dxa"/>
            <w:tcBorders>
              <w:top w:val="single" w:sz="4" w:space="0" w:color="auto"/>
              <w:left w:val="single" w:sz="4" w:space="0" w:color="auto"/>
              <w:bottom w:val="single" w:sz="4" w:space="0" w:color="auto"/>
              <w:right w:val="single" w:sz="4" w:space="0" w:color="auto"/>
            </w:tcBorders>
            <w:hideMark/>
          </w:tcPr>
          <w:p w14:paraId="045B240E" w14:textId="77777777" w:rsidR="00F52D5B" w:rsidRDefault="00F52D5B" w:rsidP="00F52D5B">
            <w:pPr>
              <w:spacing w:before="100" w:beforeAutospacing="1"/>
            </w:pPr>
            <w:r>
              <w:t>0 - $77,200</w:t>
            </w:r>
          </w:p>
        </w:tc>
        <w:tc>
          <w:tcPr>
            <w:tcW w:w="1926" w:type="dxa"/>
            <w:tcBorders>
              <w:top w:val="single" w:sz="4" w:space="0" w:color="auto"/>
              <w:left w:val="single" w:sz="4" w:space="0" w:color="auto"/>
              <w:bottom w:val="single" w:sz="4" w:space="0" w:color="auto"/>
              <w:right w:val="single" w:sz="4" w:space="0" w:color="auto"/>
            </w:tcBorders>
            <w:hideMark/>
          </w:tcPr>
          <w:p w14:paraId="3782E283" w14:textId="77777777" w:rsidR="00F52D5B" w:rsidRDefault="00F52D5B" w:rsidP="00F52D5B">
            <w:pPr>
              <w:spacing w:before="100" w:beforeAutospacing="1"/>
            </w:pPr>
            <w:r>
              <w:t>0 - $38,600</w:t>
            </w:r>
          </w:p>
        </w:tc>
        <w:tc>
          <w:tcPr>
            <w:tcW w:w="1926" w:type="dxa"/>
            <w:tcBorders>
              <w:top w:val="single" w:sz="4" w:space="0" w:color="auto"/>
              <w:left w:val="single" w:sz="4" w:space="0" w:color="auto"/>
              <w:bottom w:val="single" w:sz="4" w:space="0" w:color="auto"/>
              <w:right w:val="single" w:sz="4" w:space="0" w:color="auto"/>
            </w:tcBorders>
            <w:hideMark/>
          </w:tcPr>
          <w:p w14:paraId="3338829F" w14:textId="77777777" w:rsidR="00F52D5B" w:rsidRDefault="00F52D5B" w:rsidP="00F52D5B">
            <w:pPr>
              <w:spacing w:before="100" w:beforeAutospacing="1"/>
            </w:pPr>
            <w:r>
              <w:t>0 - $38,600</w:t>
            </w:r>
          </w:p>
        </w:tc>
        <w:tc>
          <w:tcPr>
            <w:tcW w:w="1947" w:type="dxa"/>
            <w:tcBorders>
              <w:top w:val="single" w:sz="4" w:space="0" w:color="auto"/>
              <w:left w:val="single" w:sz="4" w:space="0" w:color="auto"/>
              <w:bottom w:val="single" w:sz="4" w:space="0" w:color="auto"/>
              <w:right w:val="single" w:sz="4" w:space="0" w:color="auto"/>
            </w:tcBorders>
            <w:hideMark/>
          </w:tcPr>
          <w:p w14:paraId="19F7EF19" w14:textId="77777777" w:rsidR="00F52D5B" w:rsidRDefault="00F52D5B" w:rsidP="00F52D5B">
            <w:pPr>
              <w:spacing w:before="100" w:beforeAutospacing="1"/>
            </w:pPr>
            <w:r>
              <w:t>0 - $51,700</w:t>
            </w:r>
          </w:p>
        </w:tc>
      </w:tr>
      <w:tr w:rsidR="00F52D5B" w14:paraId="44DE3F59" w14:textId="77777777" w:rsidTr="00F52D5B">
        <w:tc>
          <w:tcPr>
            <w:tcW w:w="1442" w:type="dxa"/>
            <w:tcBorders>
              <w:top w:val="single" w:sz="4" w:space="0" w:color="auto"/>
              <w:left w:val="single" w:sz="4" w:space="0" w:color="auto"/>
              <w:bottom w:val="single" w:sz="4" w:space="0" w:color="auto"/>
              <w:right w:val="single" w:sz="4" w:space="0" w:color="auto"/>
            </w:tcBorders>
            <w:hideMark/>
          </w:tcPr>
          <w:p w14:paraId="20DD73DB" w14:textId="1AF347B3" w:rsidR="00F52D5B" w:rsidRDefault="00F52D5B" w:rsidP="00F52D5B">
            <w:pPr>
              <w:spacing w:before="100" w:beforeAutospacing="1"/>
              <w:jc w:val="center"/>
            </w:pPr>
            <w:r>
              <w:t>15%</w:t>
            </w:r>
          </w:p>
        </w:tc>
        <w:tc>
          <w:tcPr>
            <w:tcW w:w="1926" w:type="dxa"/>
            <w:tcBorders>
              <w:top w:val="single" w:sz="4" w:space="0" w:color="auto"/>
              <w:left w:val="single" w:sz="4" w:space="0" w:color="auto"/>
              <w:bottom w:val="single" w:sz="4" w:space="0" w:color="auto"/>
              <w:right w:val="single" w:sz="4" w:space="0" w:color="auto"/>
            </w:tcBorders>
            <w:hideMark/>
          </w:tcPr>
          <w:p w14:paraId="6AB265E2" w14:textId="77777777" w:rsidR="00F52D5B" w:rsidRDefault="00F52D5B" w:rsidP="00F52D5B">
            <w:pPr>
              <w:spacing w:before="100" w:beforeAutospacing="1"/>
            </w:pPr>
            <w:r>
              <w:t>$77,201 - $479,000</w:t>
            </w:r>
          </w:p>
        </w:tc>
        <w:tc>
          <w:tcPr>
            <w:tcW w:w="1926" w:type="dxa"/>
            <w:tcBorders>
              <w:top w:val="single" w:sz="4" w:space="0" w:color="auto"/>
              <w:left w:val="single" w:sz="4" w:space="0" w:color="auto"/>
              <w:bottom w:val="single" w:sz="4" w:space="0" w:color="auto"/>
              <w:right w:val="single" w:sz="4" w:space="0" w:color="auto"/>
            </w:tcBorders>
            <w:hideMark/>
          </w:tcPr>
          <w:p w14:paraId="58FB7A53" w14:textId="77777777" w:rsidR="00F52D5B" w:rsidRDefault="00F52D5B" w:rsidP="00F52D5B">
            <w:pPr>
              <w:spacing w:before="100" w:beforeAutospacing="1"/>
            </w:pPr>
            <w:r>
              <w:t>$38,601 - $239,500</w:t>
            </w:r>
          </w:p>
        </w:tc>
        <w:tc>
          <w:tcPr>
            <w:tcW w:w="1926" w:type="dxa"/>
            <w:tcBorders>
              <w:top w:val="single" w:sz="4" w:space="0" w:color="auto"/>
              <w:left w:val="single" w:sz="4" w:space="0" w:color="auto"/>
              <w:bottom w:val="single" w:sz="4" w:space="0" w:color="auto"/>
              <w:right w:val="single" w:sz="4" w:space="0" w:color="auto"/>
            </w:tcBorders>
            <w:hideMark/>
          </w:tcPr>
          <w:p w14:paraId="42909938" w14:textId="77777777" w:rsidR="00F52D5B" w:rsidRDefault="00F52D5B" w:rsidP="00F52D5B">
            <w:pPr>
              <w:spacing w:before="100" w:beforeAutospacing="1"/>
            </w:pPr>
            <w:r>
              <w:t>$38,601 - $425,800</w:t>
            </w:r>
          </w:p>
        </w:tc>
        <w:tc>
          <w:tcPr>
            <w:tcW w:w="1947" w:type="dxa"/>
            <w:tcBorders>
              <w:top w:val="single" w:sz="4" w:space="0" w:color="auto"/>
              <w:left w:val="single" w:sz="4" w:space="0" w:color="auto"/>
              <w:bottom w:val="single" w:sz="4" w:space="0" w:color="auto"/>
              <w:right w:val="single" w:sz="4" w:space="0" w:color="auto"/>
            </w:tcBorders>
            <w:hideMark/>
          </w:tcPr>
          <w:p w14:paraId="4052D5BB" w14:textId="77777777" w:rsidR="00F52D5B" w:rsidRDefault="00F52D5B" w:rsidP="00F52D5B">
            <w:pPr>
              <w:spacing w:before="100" w:beforeAutospacing="1"/>
            </w:pPr>
            <w:r>
              <w:t>$51,701 - $452,400</w:t>
            </w:r>
          </w:p>
        </w:tc>
      </w:tr>
      <w:tr w:rsidR="00F52D5B" w14:paraId="4833C4DC" w14:textId="77777777" w:rsidTr="00F52D5B">
        <w:tc>
          <w:tcPr>
            <w:tcW w:w="1442" w:type="dxa"/>
            <w:tcBorders>
              <w:top w:val="single" w:sz="4" w:space="0" w:color="auto"/>
              <w:left w:val="single" w:sz="4" w:space="0" w:color="auto"/>
              <w:bottom w:val="single" w:sz="4" w:space="0" w:color="auto"/>
              <w:right w:val="single" w:sz="4" w:space="0" w:color="auto"/>
            </w:tcBorders>
            <w:hideMark/>
          </w:tcPr>
          <w:p w14:paraId="1D312010" w14:textId="77777777" w:rsidR="00F52D5B" w:rsidRDefault="00F52D5B" w:rsidP="00F52D5B">
            <w:pPr>
              <w:spacing w:before="100" w:beforeAutospacing="1"/>
              <w:jc w:val="center"/>
            </w:pPr>
            <w:r>
              <w:t>20%</w:t>
            </w:r>
          </w:p>
        </w:tc>
        <w:tc>
          <w:tcPr>
            <w:tcW w:w="1926" w:type="dxa"/>
            <w:tcBorders>
              <w:top w:val="single" w:sz="4" w:space="0" w:color="auto"/>
              <w:left w:val="single" w:sz="4" w:space="0" w:color="auto"/>
              <w:bottom w:val="single" w:sz="4" w:space="0" w:color="auto"/>
              <w:right w:val="single" w:sz="4" w:space="0" w:color="auto"/>
            </w:tcBorders>
            <w:hideMark/>
          </w:tcPr>
          <w:p w14:paraId="00A7BA6B" w14:textId="77777777" w:rsidR="00F52D5B" w:rsidRDefault="00F52D5B" w:rsidP="00F52D5B">
            <w:pPr>
              <w:spacing w:before="100" w:beforeAutospacing="1"/>
            </w:pPr>
            <w:r>
              <w:t>$479,000+</w:t>
            </w:r>
          </w:p>
        </w:tc>
        <w:tc>
          <w:tcPr>
            <w:tcW w:w="1926" w:type="dxa"/>
            <w:tcBorders>
              <w:top w:val="single" w:sz="4" w:space="0" w:color="auto"/>
              <w:left w:val="single" w:sz="4" w:space="0" w:color="auto"/>
              <w:bottom w:val="single" w:sz="4" w:space="0" w:color="auto"/>
              <w:right w:val="single" w:sz="4" w:space="0" w:color="auto"/>
            </w:tcBorders>
            <w:hideMark/>
          </w:tcPr>
          <w:p w14:paraId="3DA73B9D" w14:textId="77777777" w:rsidR="00F52D5B" w:rsidRDefault="00F52D5B" w:rsidP="00F52D5B">
            <w:pPr>
              <w:spacing w:before="100" w:beforeAutospacing="1"/>
            </w:pPr>
            <w:r>
              <w:t>$239,500+</w:t>
            </w:r>
          </w:p>
        </w:tc>
        <w:tc>
          <w:tcPr>
            <w:tcW w:w="1926" w:type="dxa"/>
            <w:tcBorders>
              <w:top w:val="single" w:sz="4" w:space="0" w:color="auto"/>
              <w:left w:val="single" w:sz="4" w:space="0" w:color="auto"/>
              <w:bottom w:val="single" w:sz="4" w:space="0" w:color="auto"/>
              <w:right w:val="single" w:sz="4" w:space="0" w:color="auto"/>
            </w:tcBorders>
            <w:hideMark/>
          </w:tcPr>
          <w:p w14:paraId="53A6DE56" w14:textId="77777777" w:rsidR="00F52D5B" w:rsidRDefault="00F52D5B" w:rsidP="00F52D5B">
            <w:pPr>
              <w:spacing w:before="100" w:beforeAutospacing="1"/>
            </w:pPr>
            <w:r>
              <w:t>$425,801+</w:t>
            </w:r>
          </w:p>
        </w:tc>
        <w:tc>
          <w:tcPr>
            <w:tcW w:w="1947" w:type="dxa"/>
            <w:tcBorders>
              <w:top w:val="single" w:sz="4" w:space="0" w:color="auto"/>
              <w:left w:val="single" w:sz="4" w:space="0" w:color="auto"/>
              <w:bottom w:val="single" w:sz="4" w:space="0" w:color="auto"/>
              <w:right w:val="single" w:sz="4" w:space="0" w:color="auto"/>
            </w:tcBorders>
            <w:hideMark/>
          </w:tcPr>
          <w:p w14:paraId="43AC688D" w14:textId="77777777" w:rsidR="00F52D5B" w:rsidRDefault="00F52D5B" w:rsidP="00F52D5B">
            <w:pPr>
              <w:spacing w:before="100" w:beforeAutospacing="1"/>
            </w:pPr>
            <w:r>
              <w:t>$452,401+</w:t>
            </w:r>
          </w:p>
        </w:tc>
      </w:tr>
    </w:tbl>
    <w:p w14:paraId="64D471F3" w14:textId="77777777" w:rsidR="00745022" w:rsidRDefault="00745022" w:rsidP="00C54A35">
      <w:pPr>
        <w:tabs>
          <w:tab w:val="left" w:pos="360"/>
        </w:tabs>
        <w:spacing w:after="120"/>
        <w:ind w:left="360"/>
        <w:outlineLvl w:val="0"/>
      </w:pPr>
    </w:p>
    <w:p w14:paraId="45246652" w14:textId="1436350E" w:rsidR="00745022" w:rsidRPr="001C34F7" w:rsidRDefault="00745022" w:rsidP="00C04668">
      <w:pPr>
        <w:numPr>
          <w:ilvl w:val="0"/>
          <w:numId w:val="1"/>
        </w:numPr>
        <w:tabs>
          <w:tab w:val="left" w:pos="360"/>
        </w:tabs>
        <w:spacing w:after="120"/>
        <w:outlineLvl w:val="0"/>
      </w:pPr>
      <w:r w:rsidRPr="001C34F7">
        <w:t>[LO 2] {Planning}</w:t>
      </w:r>
      <w:r w:rsidR="005448BC" w:rsidRPr="001C34F7">
        <w:t>This year</w:t>
      </w:r>
      <w:r w:rsidR="009D562B" w:rsidRPr="001C34F7">
        <w:t xml:space="preserve">, </w:t>
      </w:r>
      <w:r w:rsidRPr="001C34F7">
        <w:t>David, a taxpayer in the highest tax rate bracket, has the option to purchase either stock in a Fortune 500 company or qualified small business stock in his friend’s corporation</w:t>
      </w:r>
      <w:r w:rsidR="000C1A4C">
        <w:t xml:space="preserve">. </w:t>
      </w:r>
      <w:r w:rsidRPr="001C34F7">
        <w:t>All else equal, which of the two will he prefer from a tax perspective if he intends to hold the stock for six years? Which would he prefer if he only plans to hold the stock for two years?</w:t>
      </w:r>
    </w:p>
    <w:p w14:paraId="207638F9" w14:textId="58AD8D93" w:rsidR="00B11F6B" w:rsidRPr="00F12FA8" w:rsidRDefault="00B11F6B" w:rsidP="00B11F6B">
      <w:pPr>
        <w:tabs>
          <w:tab w:val="left" w:pos="360"/>
        </w:tabs>
        <w:spacing w:after="120"/>
        <w:ind w:left="360"/>
        <w:outlineLvl w:val="0"/>
        <w:rPr>
          <w:rFonts w:eastAsia="Calibri"/>
          <w:i/>
        </w:rPr>
      </w:pPr>
      <w:r w:rsidRPr="00F12FA8">
        <w:rPr>
          <w:rFonts w:eastAsia="Calibri"/>
          <w:i/>
        </w:rPr>
        <w:t xml:space="preserve">If David holds the stock in his friend’s corporation for more than five years, </w:t>
      </w:r>
      <w:r w:rsidR="009D562B">
        <w:rPr>
          <w:i/>
        </w:rPr>
        <w:t>100</w:t>
      </w:r>
      <w:r w:rsidR="00C96282" w:rsidRPr="00C96282">
        <w:rPr>
          <w:i/>
        </w:rPr>
        <w:t xml:space="preserve"> </w:t>
      </w:r>
      <w:r w:rsidR="00C96282">
        <w:rPr>
          <w:i/>
        </w:rPr>
        <w:t xml:space="preserve">percent </w:t>
      </w:r>
      <w:r w:rsidRPr="00F12FA8">
        <w:rPr>
          <w:i/>
        </w:rPr>
        <w:t>of</w:t>
      </w:r>
      <w:r w:rsidRPr="00F12FA8">
        <w:rPr>
          <w:rFonts w:eastAsia="Calibri"/>
          <w:i/>
        </w:rPr>
        <w:t xml:space="preserve"> his gain will be excluded</w:t>
      </w:r>
      <w:r w:rsidR="000C1A4C">
        <w:rPr>
          <w:rFonts w:eastAsia="Calibri"/>
          <w:i/>
        </w:rPr>
        <w:t xml:space="preserve">. </w:t>
      </w:r>
      <w:r w:rsidRPr="00F12FA8">
        <w:rPr>
          <w:rFonts w:eastAsia="Calibri"/>
          <w:i/>
        </w:rPr>
        <w:t xml:space="preserve">In contrast, gains from the sale of stock in the Fortune 500 </w:t>
      </w:r>
      <w:r w:rsidRPr="00F12FA8">
        <w:rPr>
          <w:i/>
        </w:rPr>
        <w:t>c</w:t>
      </w:r>
      <w:r w:rsidRPr="00F12FA8">
        <w:rPr>
          <w:rFonts w:eastAsia="Calibri"/>
          <w:i/>
        </w:rPr>
        <w:t xml:space="preserve">ompany would be taxed at </w:t>
      </w:r>
      <w:r w:rsidRPr="00F12FA8">
        <w:rPr>
          <w:i/>
        </w:rPr>
        <w:t>the prevailing maximum capital gains rate (</w:t>
      </w:r>
      <w:r w:rsidR="00070836">
        <w:rPr>
          <w:i/>
        </w:rPr>
        <w:t>maximum of 20</w:t>
      </w:r>
      <w:r w:rsidR="00C96282" w:rsidRPr="00C96282">
        <w:rPr>
          <w:i/>
        </w:rPr>
        <w:t xml:space="preserve"> </w:t>
      </w:r>
      <w:r w:rsidR="00C96282">
        <w:rPr>
          <w:i/>
        </w:rPr>
        <w:t xml:space="preserve">percent </w:t>
      </w:r>
      <w:r w:rsidR="009D562B">
        <w:rPr>
          <w:i/>
        </w:rPr>
        <w:t>currently</w:t>
      </w:r>
      <w:r w:rsidRPr="00F12FA8">
        <w:rPr>
          <w:i/>
        </w:rPr>
        <w:t>)</w:t>
      </w:r>
      <w:r w:rsidR="000C1A4C">
        <w:rPr>
          <w:rFonts w:eastAsia="Calibri"/>
          <w:i/>
        </w:rPr>
        <w:t xml:space="preserve">. </w:t>
      </w:r>
      <w:r w:rsidRPr="00F12FA8">
        <w:rPr>
          <w:rFonts w:eastAsia="Calibri"/>
          <w:i/>
        </w:rPr>
        <w:t>Thus, David would prefer to purchase stock in his friend’s corporation if taxes are the only consideration.</w:t>
      </w:r>
    </w:p>
    <w:p w14:paraId="7274727C" w14:textId="77777777" w:rsidR="00745022" w:rsidRPr="00F12FA8" w:rsidRDefault="00B11F6B" w:rsidP="00B11F6B">
      <w:pPr>
        <w:tabs>
          <w:tab w:val="left" w:pos="360"/>
        </w:tabs>
        <w:spacing w:after="120"/>
        <w:ind w:left="360"/>
        <w:outlineLvl w:val="0"/>
        <w:rPr>
          <w:i/>
        </w:rPr>
      </w:pPr>
      <w:r w:rsidRPr="00F12FA8">
        <w:rPr>
          <w:rFonts w:eastAsia="Calibri"/>
          <w:i/>
        </w:rPr>
        <w:t>If the stocks are only held for two years, the stock in his friend’s corporation would not be treated as qualified small business stock and he would be indifferent, from a tax perspective, between purchasing the two stocks.</w:t>
      </w:r>
      <w:r w:rsidR="00745022" w:rsidRPr="00F12FA8">
        <w:rPr>
          <w:i/>
        </w:rPr>
        <w:t xml:space="preserve"> </w:t>
      </w:r>
    </w:p>
    <w:p w14:paraId="7858EA91" w14:textId="77777777" w:rsidR="00745022" w:rsidRDefault="00745022" w:rsidP="006B1741">
      <w:pPr>
        <w:tabs>
          <w:tab w:val="left" w:pos="360"/>
        </w:tabs>
        <w:spacing w:after="120"/>
        <w:outlineLvl w:val="0"/>
      </w:pPr>
    </w:p>
    <w:p w14:paraId="062BAFB2" w14:textId="77777777" w:rsidR="00745022" w:rsidRDefault="00745022" w:rsidP="00C04668">
      <w:pPr>
        <w:numPr>
          <w:ilvl w:val="0"/>
          <w:numId w:val="1"/>
        </w:numPr>
        <w:tabs>
          <w:tab w:val="left" w:pos="360"/>
        </w:tabs>
        <w:spacing w:after="120"/>
        <w:outlineLvl w:val="0"/>
      </w:pPr>
      <w:r>
        <w:t>[LO 2] What is a “wash sale”?  What is the purpose of the wash sale tax rules?</w:t>
      </w:r>
    </w:p>
    <w:p w14:paraId="54FFEC3F" w14:textId="77777777" w:rsidR="00745022" w:rsidRDefault="00745022" w:rsidP="00B33EBC">
      <w:pPr>
        <w:ind w:left="360"/>
        <w:outlineLvl w:val="0"/>
        <w:rPr>
          <w:i/>
        </w:rPr>
      </w:pPr>
      <w:r w:rsidRPr="00B33EBC">
        <w:rPr>
          <w:i/>
        </w:rPr>
        <w:t xml:space="preserve">A wash sale is a tax term that applies to transactions in which a taxpayer purchases the same stock or “substantially identical” stock to the stock they sold at a loss within a 61-day period centered on the date of the sale. </w:t>
      </w:r>
    </w:p>
    <w:p w14:paraId="791709A5" w14:textId="77777777" w:rsidR="00745022" w:rsidRDefault="00745022" w:rsidP="00B33EBC">
      <w:pPr>
        <w:ind w:left="360"/>
        <w:outlineLvl w:val="0"/>
        <w:rPr>
          <w:i/>
        </w:rPr>
      </w:pPr>
    </w:p>
    <w:p w14:paraId="03D9FA34" w14:textId="77777777" w:rsidR="00745022" w:rsidRPr="00922DFB" w:rsidRDefault="00745022" w:rsidP="00B33EBC">
      <w:pPr>
        <w:ind w:left="360"/>
        <w:outlineLvl w:val="0"/>
        <w:rPr>
          <w:i/>
        </w:rPr>
      </w:pPr>
      <w:r w:rsidRPr="00922DFB">
        <w:rPr>
          <w:i/>
        </w:rPr>
        <w:t>A wash sale occurs when an investor sells or trades stock or securities at a loss and within 30 days either before or after the day of sale buys substantially identical stocks or securities.</w:t>
      </w:r>
      <w:r>
        <w:rPr>
          <w:i/>
        </w:rPr>
        <w:t xml:space="preserve"> </w:t>
      </w:r>
      <w:r w:rsidRPr="00922DFB">
        <w:rPr>
          <w:i/>
        </w:rPr>
        <w:t>Because the day of sale is included, the 30 days before and after period creates a 61-day window during which the wash sale provisions may apply.</w:t>
      </w:r>
    </w:p>
    <w:p w14:paraId="5C6048B9" w14:textId="77777777" w:rsidR="00745022" w:rsidRPr="00B33EBC" w:rsidRDefault="00745022" w:rsidP="00B33EBC">
      <w:pPr>
        <w:ind w:left="1080"/>
        <w:outlineLvl w:val="0"/>
        <w:rPr>
          <w:i/>
        </w:rPr>
      </w:pPr>
    </w:p>
    <w:p w14:paraId="74D2C502" w14:textId="0128BF25" w:rsidR="00745022" w:rsidRPr="0027786A" w:rsidRDefault="00745022" w:rsidP="00B33EBC">
      <w:pPr>
        <w:ind w:left="360"/>
        <w:outlineLvl w:val="0"/>
        <w:rPr>
          <w:b/>
        </w:rPr>
      </w:pPr>
      <w:r w:rsidRPr="00B33EBC">
        <w:rPr>
          <w:i/>
        </w:rPr>
        <w:t xml:space="preserve">The purpose of the wash sale tax rules is to prevent taxpayers from accelerating losses on securities that have declined in value without actually changing their </w:t>
      </w:r>
      <w:r w:rsidRPr="00B33EBC">
        <w:rPr>
          <w:i/>
        </w:rPr>
        <w:lastRenderedPageBreak/>
        <w:t>investment in the securities</w:t>
      </w:r>
      <w:r w:rsidR="000C1A4C">
        <w:rPr>
          <w:i/>
        </w:rPr>
        <w:t xml:space="preserve">. </w:t>
      </w:r>
      <w:r w:rsidRPr="00B33EBC">
        <w:rPr>
          <w:i/>
        </w:rPr>
        <w:t>The 61-day period ensures that taxpayers cannot deduct losses from stock sales while essentially continuing their investment in the stock</w:t>
      </w:r>
      <w:r w:rsidR="000C1A4C">
        <w:rPr>
          <w:i/>
        </w:rPr>
        <w:t xml:space="preserve">. </w:t>
      </w:r>
    </w:p>
    <w:p w14:paraId="54DCDBD4" w14:textId="77777777" w:rsidR="00745022" w:rsidRDefault="00745022" w:rsidP="006B1741">
      <w:pPr>
        <w:tabs>
          <w:tab w:val="left" w:pos="360"/>
        </w:tabs>
        <w:spacing w:after="120"/>
        <w:outlineLvl w:val="0"/>
      </w:pPr>
    </w:p>
    <w:p w14:paraId="37EA48D4" w14:textId="13399C60" w:rsidR="00745022" w:rsidRDefault="00745022" w:rsidP="00C04668">
      <w:pPr>
        <w:numPr>
          <w:ilvl w:val="0"/>
          <w:numId w:val="1"/>
        </w:numPr>
        <w:tabs>
          <w:tab w:val="left" w:pos="360"/>
        </w:tabs>
        <w:spacing w:after="120"/>
        <w:outlineLvl w:val="0"/>
      </w:pPr>
      <w:r>
        <w:t>[LO 2] Nick does not use his car for business purposes</w:t>
      </w:r>
      <w:r w:rsidR="000C1A4C">
        <w:t xml:space="preserve">. </w:t>
      </w:r>
      <w:r>
        <w:t>If he sells his car for less than he paid for it, does he get to deduct the loss for tax purposes?  Why or why not?</w:t>
      </w:r>
    </w:p>
    <w:p w14:paraId="31F8CDAD" w14:textId="77777777" w:rsidR="00745022" w:rsidRDefault="00745022" w:rsidP="00B33EBC">
      <w:pPr>
        <w:ind w:left="360"/>
        <w:outlineLvl w:val="0"/>
        <w:rPr>
          <w:i/>
        </w:rPr>
      </w:pPr>
      <w:r w:rsidRPr="00AD5194">
        <w:rPr>
          <w:i/>
        </w:rPr>
        <w:t xml:space="preserve">Personal-use of assets </w:t>
      </w:r>
      <w:r w:rsidR="001B438E" w:rsidRPr="00AD5194">
        <w:rPr>
          <w:i/>
        </w:rPr>
        <w:t>falls</w:t>
      </w:r>
      <w:r w:rsidRPr="00AD5194">
        <w:rPr>
          <w:i/>
        </w:rPr>
        <w:t xml:space="preserve"> within the category of capital assets. When </w:t>
      </w:r>
      <w:r>
        <w:rPr>
          <w:i/>
        </w:rPr>
        <w:t xml:space="preserve">a </w:t>
      </w:r>
      <w:r w:rsidRPr="00AD5194">
        <w:rPr>
          <w:i/>
        </w:rPr>
        <w:t>taxpayer sel</w:t>
      </w:r>
      <w:r>
        <w:rPr>
          <w:i/>
        </w:rPr>
        <w:t>ls</w:t>
      </w:r>
      <w:r w:rsidRPr="00AD5194">
        <w:rPr>
          <w:i/>
        </w:rPr>
        <w:t xml:space="preserve"> </w:t>
      </w:r>
      <w:r>
        <w:rPr>
          <w:i/>
        </w:rPr>
        <w:t xml:space="preserve">a </w:t>
      </w:r>
      <w:r w:rsidRPr="00AD5194">
        <w:rPr>
          <w:i/>
        </w:rPr>
        <w:t xml:space="preserve">personal-use asset, the gain from the sale of </w:t>
      </w:r>
      <w:r>
        <w:rPr>
          <w:i/>
        </w:rPr>
        <w:t>the</w:t>
      </w:r>
      <w:r w:rsidRPr="00AD5194">
        <w:rPr>
          <w:i/>
        </w:rPr>
        <w:t xml:space="preserve"> personal-use asset is taxable even though it was not purchased for its appreciation potential</w:t>
      </w:r>
      <w:r>
        <w:rPr>
          <w:i/>
        </w:rPr>
        <w:t>.</w:t>
      </w:r>
      <w:r w:rsidRPr="00AD5194">
        <w:rPr>
          <w:i/>
        </w:rPr>
        <w:t xml:space="preserve"> </w:t>
      </w:r>
      <w:r>
        <w:rPr>
          <w:i/>
        </w:rPr>
        <w:t>I</w:t>
      </w:r>
      <w:r w:rsidRPr="00AD5194">
        <w:rPr>
          <w:i/>
        </w:rPr>
        <w:t xml:space="preserve">f </w:t>
      </w:r>
      <w:r>
        <w:rPr>
          <w:i/>
        </w:rPr>
        <w:t xml:space="preserve">a </w:t>
      </w:r>
      <w:r w:rsidRPr="00AD5194">
        <w:rPr>
          <w:i/>
        </w:rPr>
        <w:t>taxpaye</w:t>
      </w:r>
      <w:r>
        <w:rPr>
          <w:i/>
        </w:rPr>
        <w:t>r</w:t>
      </w:r>
      <w:r w:rsidRPr="00AD5194">
        <w:rPr>
          <w:i/>
        </w:rPr>
        <w:t xml:space="preserve"> s</w:t>
      </w:r>
      <w:r>
        <w:rPr>
          <w:i/>
        </w:rPr>
        <w:t>ells a</w:t>
      </w:r>
      <w:r w:rsidRPr="00AD5194">
        <w:rPr>
          <w:i/>
        </w:rPr>
        <w:t xml:space="preserve"> car for less than </w:t>
      </w:r>
      <w:r>
        <w:rPr>
          <w:i/>
        </w:rPr>
        <w:t xml:space="preserve">he paid for it, the </w:t>
      </w:r>
      <w:r w:rsidRPr="00AD5194">
        <w:rPr>
          <w:i/>
        </w:rPr>
        <w:t xml:space="preserve">loss </w:t>
      </w:r>
      <w:r>
        <w:rPr>
          <w:i/>
        </w:rPr>
        <w:t>from</w:t>
      </w:r>
      <w:r w:rsidRPr="00AD5194">
        <w:rPr>
          <w:i/>
        </w:rPr>
        <w:t xml:space="preserve"> the sale of </w:t>
      </w:r>
      <w:r>
        <w:rPr>
          <w:i/>
        </w:rPr>
        <w:t xml:space="preserve">the </w:t>
      </w:r>
      <w:r w:rsidRPr="00AD5194">
        <w:rPr>
          <w:i/>
        </w:rPr>
        <w:t xml:space="preserve">personal-use asset </w:t>
      </w:r>
      <w:r>
        <w:rPr>
          <w:i/>
        </w:rPr>
        <w:t xml:space="preserve">is not </w:t>
      </w:r>
      <w:r w:rsidRPr="00AD5194">
        <w:rPr>
          <w:i/>
        </w:rPr>
        <w:t>deductible, and therefore never become</w:t>
      </w:r>
      <w:r>
        <w:rPr>
          <w:i/>
        </w:rPr>
        <w:t>s</w:t>
      </w:r>
      <w:r w:rsidRPr="00AD5194">
        <w:rPr>
          <w:i/>
        </w:rPr>
        <w:t xml:space="preserve"> part of the </w:t>
      </w:r>
      <w:r w:rsidRPr="003C4C18">
        <w:rPr>
          <w:i/>
        </w:rPr>
        <w:t>netting</w:t>
      </w:r>
      <w:r w:rsidRPr="00AD5194">
        <w:rPr>
          <w:i/>
        </w:rPr>
        <w:t xml:space="preserve"> process.</w:t>
      </w:r>
      <w:r>
        <w:rPr>
          <w:i/>
        </w:rPr>
        <w:t xml:space="preserve"> </w:t>
      </w:r>
    </w:p>
    <w:p w14:paraId="30F72577" w14:textId="77777777" w:rsidR="00745022" w:rsidRDefault="00745022" w:rsidP="00B33EBC">
      <w:pPr>
        <w:ind w:left="360"/>
        <w:outlineLvl w:val="0"/>
        <w:rPr>
          <w:i/>
        </w:rPr>
      </w:pPr>
    </w:p>
    <w:p w14:paraId="146501E0" w14:textId="2430CF9E" w:rsidR="00745022" w:rsidRDefault="00745022" w:rsidP="00B33EBC">
      <w:pPr>
        <w:ind w:left="360"/>
        <w:outlineLvl w:val="0"/>
        <w:rPr>
          <w:i/>
        </w:rPr>
      </w:pPr>
      <w:r>
        <w:rPr>
          <w:i/>
        </w:rPr>
        <w:t>Hence l</w:t>
      </w:r>
      <w:r w:rsidRPr="00B33EBC">
        <w:rPr>
          <w:i/>
        </w:rPr>
        <w:t>osses recognized on assets used for personal purposes are not deductible</w:t>
      </w:r>
      <w:r w:rsidR="000C1A4C">
        <w:rPr>
          <w:i/>
        </w:rPr>
        <w:t xml:space="preserve">. </w:t>
      </w:r>
      <w:r w:rsidRPr="00B33EBC">
        <w:rPr>
          <w:i/>
        </w:rPr>
        <w:t>However, if Nick sold the car for more than he purchased it, he would be tax</w:t>
      </w:r>
      <w:r>
        <w:rPr>
          <w:i/>
        </w:rPr>
        <w:t>ed</w:t>
      </w:r>
      <w:r w:rsidRPr="00B33EBC">
        <w:rPr>
          <w:i/>
        </w:rPr>
        <w:t xml:space="preserve"> on the capital gain.</w:t>
      </w:r>
    </w:p>
    <w:p w14:paraId="0205B855" w14:textId="77777777" w:rsidR="00745022" w:rsidRDefault="00745022" w:rsidP="00B33EBC">
      <w:pPr>
        <w:tabs>
          <w:tab w:val="left" w:pos="360"/>
        </w:tabs>
        <w:spacing w:after="120"/>
        <w:outlineLvl w:val="0"/>
      </w:pPr>
    </w:p>
    <w:p w14:paraId="307D5312" w14:textId="0108E8AE" w:rsidR="00745022" w:rsidRDefault="00745022" w:rsidP="00C04668">
      <w:pPr>
        <w:numPr>
          <w:ilvl w:val="0"/>
          <w:numId w:val="1"/>
        </w:numPr>
        <w:tabs>
          <w:tab w:val="left" w:pos="360"/>
        </w:tabs>
        <w:spacing w:after="120"/>
        <w:outlineLvl w:val="0"/>
      </w:pPr>
      <w:r>
        <w:t xml:space="preserve">[LO 2] </w:t>
      </w:r>
      <w:r w:rsidR="00F52D5B" w:rsidRPr="00FD2367">
        <w:t xml:space="preserve">{Planning} </w:t>
      </w:r>
      <w:r>
        <w:t>Describe three basic tax planning strategies available to taxpayers investing in capital assets.</w:t>
      </w:r>
    </w:p>
    <w:p w14:paraId="52E8AA3D" w14:textId="151D20EA" w:rsidR="00745022" w:rsidRPr="00B33EBC" w:rsidRDefault="00745022" w:rsidP="00B33EBC">
      <w:pPr>
        <w:ind w:left="360"/>
        <w:outlineLvl w:val="0"/>
        <w:rPr>
          <w:i/>
        </w:rPr>
      </w:pPr>
      <w:r>
        <w:rPr>
          <w:i/>
        </w:rPr>
        <w:t>When a taxpayer holds capital assets for more than one year before selling, she is actually utilizing two basi</w:t>
      </w:r>
      <w:r w:rsidR="0037042E">
        <w:rPr>
          <w:i/>
        </w:rPr>
        <w:t>c</w:t>
      </w:r>
      <w:r>
        <w:rPr>
          <w:i/>
        </w:rPr>
        <w:t xml:space="preserve"> strategies</w:t>
      </w:r>
      <w:r w:rsidR="000C1A4C">
        <w:rPr>
          <w:i/>
        </w:rPr>
        <w:t xml:space="preserve">. </w:t>
      </w:r>
      <w:r>
        <w:rPr>
          <w:i/>
        </w:rPr>
        <w:t>First</w:t>
      </w:r>
      <w:r w:rsidRPr="00244AE6">
        <w:rPr>
          <w:i/>
        </w:rPr>
        <w:t xml:space="preserve">, </w:t>
      </w:r>
      <w:r>
        <w:rPr>
          <w:i/>
        </w:rPr>
        <w:t>she defers recognizing capital gains thereby reducing</w:t>
      </w:r>
      <w:r w:rsidRPr="00244AE6">
        <w:rPr>
          <w:i/>
        </w:rPr>
        <w:t xml:space="preserve"> the present value of the capital gains tax </w:t>
      </w:r>
      <w:r>
        <w:rPr>
          <w:i/>
        </w:rPr>
        <w:t>due when the asset is sold</w:t>
      </w:r>
      <w:r w:rsidRPr="00244AE6">
        <w:rPr>
          <w:i/>
        </w:rPr>
        <w:t>.</w:t>
      </w:r>
      <w:r w:rsidRPr="00B33EBC">
        <w:rPr>
          <w:i/>
        </w:rPr>
        <w:t xml:space="preserve"> </w:t>
      </w:r>
      <w:r>
        <w:rPr>
          <w:i/>
        </w:rPr>
        <w:t>Second, by</w:t>
      </w:r>
      <w:r w:rsidRPr="00B33EBC">
        <w:rPr>
          <w:i/>
        </w:rPr>
        <w:t xml:space="preserve"> converting the capital gain into a long-term capital gain, the gain is taxed at a preferential </w:t>
      </w:r>
      <w:r w:rsidR="00EC3BD9">
        <w:rPr>
          <w:i/>
        </w:rPr>
        <w:t xml:space="preserve">maximum </w:t>
      </w:r>
      <w:r w:rsidRPr="00B33EBC">
        <w:rPr>
          <w:i/>
        </w:rPr>
        <w:t xml:space="preserve">tax rate of </w:t>
      </w:r>
      <w:r w:rsidR="00801F2C">
        <w:rPr>
          <w:i/>
        </w:rPr>
        <w:t>0/15/</w:t>
      </w:r>
      <w:r w:rsidR="001C2CAF">
        <w:rPr>
          <w:i/>
        </w:rPr>
        <w:t>20</w:t>
      </w:r>
      <w:r w:rsidR="00C96282" w:rsidRPr="00C96282">
        <w:rPr>
          <w:i/>
        </w:rPr>
        <w:t xml:space="preserve"> </w:t>
      </w:r>
      <w:r w:rsidR="00C96282">
        <w:rPr>
          <w:i/>
        </w:rPr>
        <w:t>percent</w:t>
      </w:r>
      <w:r w:rsidRPr="00B33EBC">
        <w:rPr>
          <w:i/>
        </w:rPr>
        <w:t xml:space="preserve"> </w:t>
      </w:r>
      <w:r w:rsidR="00801F2C">
        <w:rPr>
          <w:i/>
        </w:rPr>
        <w:t xml:space="preserve">(depending on her income) </w:t>
      </w:r>
      <w:r w:rsidRPr="00B33EBC">
        <w:rPr>
          <w:i/>
        </w:rPr>
        <w:t xml:space="preserve">instead of </w:t>
      </w:r>
      <w:r>
        <w:rPr>
          <w:i/>
        </w:rPr>
        <w:t>her</w:t>
      </w:r>
      <w:r w:rsidRPr="00B33EBC">
        <w:rPr>
          <w:i/>
        </w:rPr>
        <w:t xml:space="preserve"> ordinary rate</w:t>
      </w:r>
      <w:r w:rsidR="000C1A4C">
        <w:rPr>
          <w:i/>
        </w:rPr>
        <w:t xml:space="preserve">. </w:t>
      </w:r>
    </w:p>
    <w:p w14:paraId="42D7C8B1" w14:textId="77777777" w:rsidR="00745022" w:rsidRPr="00B33EBC" w:rsidRDefault="00745022" w:rsidP="00B33EBC">
      <w:pPr>
        <w:ind w:left="765"/>
        <w:outlineLvl w:val="0"/>
        <w:rPr>
          <w:i/>
        </w:rPr>
      </w:pPr>
    </w:p>
    <w:p w14:paraId="6B3B02AB" w14:textId="5FAE9500" w:rsidR="00745022" w:rsidRPr="00B33EBC" w:rsidRDefault="00745022" w:rsidP="00B33EBC">
      <w:pPr>
        <w:ind w:left="360"/>
        <w:outlineLvl w:val="0"/>
        <w:rPr>
          <w:i/>
        </w:rPr>
      </w:pPr>
      <w:r w:rsidRPr="00B33EBC">
        <w:rPr>
          <w:i/>
        </w:rPr>
        <w:t xml:space="preserve">A </w:t>
      </w:r>
      <w:r>
        <w:rPr>
          <w:i/>
        </w:rPr>
        <w:t>third</w:t>
      </w:r>
      <w:r w:rsidRPr="00B33EBC">
        <w:rPr>
          <w:i/>
        </w:rPr>
        <w:t xml:space="preserve"> strategy is to sell investments with built-in losses</w:t>
      </w:r>
      <w:r w:rsidR="000C1A4C">
        <w:rPr>
          <w:i/>
        </w:rPr>
        <w:t xml:space="preserve">. </w:t>
      </w:r>
      <w:r w:rsidRPr="00B33EBC">
        <w:rPr>
          <w:i/>
        </w:rPr>
        <w:t>Selling loss assets reduces taxes by providing up to a $3,000 deduction against ordinary income and by reducing the amount of capital gains that would otherwise be subject to tax during the year</w:t>
      </w:r>
      <w:r w:rsidR="000C1A4C">
        <w:rPr>
          <w:i/>
        </w:rPr>
        <w:t xml:space="preserve">. </w:t>
      </w:r>
      <w:r w:rsidRPr="00B33EBC">
        <w:rPr>
          <w:i/>
        </w:rPr>
        <w:t xml:space="preserve">This is particularly beneficial for </w:t>
      </w:r>
      <w:r>
        <w:rPr>
          <w:i/>
        </w:rPr>
        <w:t xml:space="preserve">a </w:t>
      </w:r>
      <w:r w:rsidRPr="00B33EBC">
        <w:rPr>
          <w:i/>
        </w:rPr>
        <w:t xml:space="preserve">taxpayer with short-term capital gains </w:t>
      </w:r>
      <w:r>
        <w:rPr>
          <w:i/>
        </w:rPr>
        <w:t>that</w:t>
      </w:r>
      <w:r w:rsidRPr="00B33EBC">
        <w:rPr>
          <w:i/>
        </w:rPr>
        <w:t xml:space="preserve"> would be taxed at high ordinary rates absent offsetting capital losses.</w:t>
      </w:r>
    </w:p>
    <w:p w14:paraId="51E24831" w14:textId="77777777" w:rsidR="00745022" w:rsidRPr="00B33EBC" w:rsidRDefault="00745022" w:rsidP="00B33EBC">
      <w:pPr>
        <w:ind w:left="1080"/>
        <w:outlineLvl w:val="0"/>
        <w:rPr>
          <w:i/>
        </w:rPr>
      </w:pPr>
    </w:p>
    <w:p w14:paraId="70F85331" w14:textId="145A3B19" w:rsidR="00745022" w:rsidRPr="00FD2367" w:rsidRDefault="00745022" w:rsidP="00C04668">
      <w:pPr>
        <w:numPr>
          <w:ilvl w:val="0"/>
          <w:numId w:val="1"/>
        </w:numPr>
        <w:tabs>
          <w:tab w:val="left" w:pos="360"/>
        </w:tabs>
        <w:spacing w:after="120"/>
        <w:outlineLvl w:val="0"/>
      </w:pPr>
      <w:r w:rsidRPr="00FD2367">
        <w:t>[LO 2] {Planning} Clark owns stock in BCS Corporation that he purchased in January of the current year</w:t>
      </w:r>
      <w:r w:rsidR="000C1A4C">
        <w:t xml:space="preserve">. </w:t>
      </w:r>
      <w:r w:rsidRPr="00FD2367">
        <w:t>The stock has appreciated significantly during the year</w:t>
      </w:r>
      <w:r w:rsidR="000C1A4C">
        <w:t xml:space="preserve">. </w:t>
      </w:r>
      <w:r w:rsidRPr="00FD2367">
        <w:t>It is now December of the current year, and Clark is deciding whether or not he should sell the stock</w:t>
      </w:r>
      <w:r w:rsidR="000C1A4C">
        <w:t xml:space="preserve">. </w:t>
      </w:r>
      <w:r w:rsidRPr="00FD2367">
        <w:t>What tax and nontax factors should Clark consider before making the decision on whether to sell the stock now?</w:t>
      </w:r>
    </w:p>
    <w:p w14:paraId="019C8560" w14:textId="77777777" w:rsidR="00745022" w:rsidRPr="00B33EBC" w:rsidRDefault="00745022" w:rsidP="00B33EBC">
      <w:pPr>
        <w:ind w:left="360"/>
        <w:outlineLvl w:val="0"/>
        <w:rPr>
          <w:i/>
        </w:rPr>
      </w:pPr>
      <w:r w:rsidRPr="00B33EBC">
        <w:rPr>
          <w:i/>
        </w:rPr>
        <w:t xml:space="preserve">Tax factors:  </w:t>
      </w:r>
    </w:p>
    <w:p w14:paraId="6CB5700A" w14:textId="77777777" w:rsidR="00745022" w:rsidRPr="00B33EBC" w:rsidRDefault="00745022" w:rsidP="00B33EBC">
      <w:pPr>
        <w:ind w:left="1080"/>
        <w:outlineLvl w:val="0"/>
        <w:rPr>
          <w:i/>
        </w:rPr>
      </w:pPr>
    </w:p>
    <w:p w14:paraId="07982A5F" w14:textId="198462B0" w:rsidR="00745022" w:rsidRDefault="00745022" w:rsidP="00F57AF1">
      <w:pPr>
        <w:ind w:left="360"/>
        <w:outlineLvl w:val="0"/>
        <w:rPr>
          <w:i/>
        </w:rPr>
      </w:pPr>
      <w:r w:rsidRPr="00B33EBC">
        <w:rPr>
          <w:i/>
        </w:rPr>
        <w:t xml:space="preserve">Clark should consider </w:t>
      </w:r>
      <w:r w:rsidR="0037042E">
        <w:rPr>
          <w:i/>
        </w:rPr>
        <w:t xml:space="preserve">the </w:t>
      </w:r>
      <w:r w:rsidRPr="00B33EBC">
        <w:rPr>
          <w:i/>
        </w:rPr>
        <w:t>rate at which the gain will be taxed</w:t>
      </w:r>
      <w:r w:rsidR="000C1A4C">
        <w:rPr>
          <w:i/>
        </w:rPr>
        <w:t xml:space="preserve">. </w:t>
      </w:r>
      <w:r w:rsidRPr="00B33EBC">
        <w:rPr>
          <w:i/>
        </w:rPr>
        <w:t>If he sells the stock in December of the current year, the gain is a short-term gain that will likely be taxed at his marginal ordinary income rate</w:t>
      </w:r>
      <w:r w:rsidR="000C1A4C">
        <w:rPr>
          <w:i/>
        </w:rPr>
        <w:t xml:space="preserve">. </w:t>
      </w:r>
      <w:r w:rsidRPr="00B33EBC">
        <w:rPr>
          <w:i/>
        </w:rPr>
        <w:t xml:space="preserve">If he waits until he has held the stock for more than a year, the gain will be taxed at </w:t>
      </w:r>
      <w:r w:rsidR="00570A4F">
        <w:rPr>
          <w:i/>
        </w:rPr>
        <w:t xml:space="preserve">a maximum of </w:t>
      </w:r>
      <w:r w:rsidR="00801F2C">
        <w:rPr>
          <w:i/>
        </w:rPr>
        <w:t>0/15/</w:t>
      </w:r>
      <w:r w:rsidR="00570A4F">
        <w:rPr>
          <w:i/>
        </w:rPr>
        <w:t>20</w:t>
      </w:r>
      <w:r w:rsidR="00C96282" w:rsidRPr="00C96282">
        <w:rPr>
          <w:i/>
        </w:rPr>
        <w:t xml:space="preserve"> </w:t>
      </w:r>
      <w:r w:rsidR="00C96282">
        <w:rPr>
          <w:i/>
        </w:rPr>
        <w:t>percent</w:t>
      </w:r>
      <w:r w:rsidR="00801F2C">
        <w:rPr>
          <w:i/>
        </w:rPr>
        <w:t xml:space="preserve"> (depending on </w:t>
      </w:r>
      <w:r w:rsidR="00F52D5B">
        <w:rPr>
          <w:i/>
        </w:rPr>
        <w:t xml:space="preserve">his filing status and </w:t>
      </w:r>
      <w:r w:rsidR="00801F2C">
        <w:rPr>
          <w:i/>
        </w:rPr>
        <w:t>income)</w:t>
      </w:r>
      <w:r w:rsidR="000C1A4C">
        <w:rPr>
          <w:i/>
        </w:rPr>
        <w:t xml:space="preserve">. </w:t>
      </w:r>
    </w:p>
    <w:p w14:paraId="739E2B64" w14:textId="77777777" w:rsidR="00745022" w:rsidRPr="00B33EBC" w:rsidRDefault="00745022" w:rsidP="00F57AF1">
      <w:pPr>
        <w:ind w:left="360"/>
        <w:outlineLvl w:val="0"/>
        <w:rPr>
          <w:i/>
        </w:rPr>
      </w:pPr>
    </w:p>
    <w:p w14:paraId="15F393F7" w14:textId="2F482D3A" w:rsidR="00745022" w:rsidRPr="00B33EBC" w:rsidRDefault="00745022" w:rsidP="00B33EBC">
      <w:pPr>
        <w:ind w:left="360"/>
        <w:outlineLvl w:val="0"/>
        <w:rPr>
          <w:i/>
        </w:rPr>
      </w:pPr>
      <w:r w:rsidRPr="00B33EBC">
        <w:rPr>
          <w:i/>
        </w:rPr>
        <w:lastRenderedPageBreak/>
        <w:t>Clark should also assess his other capital gains and losses incurred during the year</w:t>
      </w:r>
      <w:r w:rsidR="000C1A4C">
        <w:rPr>
          <w:i/>
        </w:rPr>
        <w:t xml:space="preserve">. </w:t>
      </w:r>
      <w:r w:rsidRPr="00B33EBC">
        <w:rPr>
          <w:i/>
        </w:rPr>
        <w:t>The gain he recognizes on the sale will enter the netting process</w:t>
      </w:r>
      <w:r w:rsidR="000C1A4C">
        <w:rPr>
          <w:i/>
        </w:rPr>
        <w:t xml:space="preserve">. </w:t>
      </w:r>
      <w:r w:rsidRPr="00B33EBC">
        <w:rPr>
          <w:i/>
        </w:rPr>
        <w:t>Thus, if he has a large short</w:t>
      </w:r>
      <w:r w:rsidR="002E6734">
        <w:rPr>
          <w:i/>
        </w:rPr>
        <w:t>-</w:t>
      </w:r>
      <w:r w:rsidRPr="00B33EBC">
        <w:rPr>
          <w:i/>
        </w:rPr>
        <w:t>term capital loss, he may want to sell the stock this year to absorb the loss</w:t>
      </w:r>
      <w:r w:rsidR="000C1A4C">
        <w:rPr>
          <w:i/>
        </w:rPr>
        <w:t xml:space="preserve">. </w:t>
      </w:r>
    </w:p>
    <w:p w14:paraId="3C802F4A" w14:textId="77777777" w:rsidR="00745022" w:rsidRPr="00B33EBC" w:rsidRDefault="00745022" w:rsidP="00B33EBC">
      <w:pPr>
        <w:ind w:left="1080"/>
        <w:outlineLvl w:val="0"/>
        <w:rPr>
          <w:i/>
        </w:rPr>
      </w:pPr>
    </w:p>
    <w:p w14:paraId="1CA30B71" w14:textId="77777777" w:rsidR="00745022" w:rsidRPr="00B33EBC" w:rsidRDefault="00745022" w:rsidP="00B33EBC">
      <w:pPr>
        <w:ind w:left="360"/>
        <w:outlineLvl w:val="0"/>
        <w:rPr>
          <w:i/>
        </w:rPr>
      </w:pPr>
      <w:r w:rsidRPr="00B33EBC">
        <w:rPr>
          <w:i/>
        </w:rPr>
        <w:t>Nontax factors:</w:t>
      </w:r>
    </w:p>
    <w:p w14:paraId="35FAB48F" w14:textId="77777777" w:rsidR="00745022" w:rsidRPr="00B33EBC" w:rsidRDefault="00745022" w:rsidP="00B33EBC">
      <w:pPr>
        <w:ind w:left="1080"/>
        <w:outlineLvl w:val="0"/>
        <w:rPr>
          <w:i/>
        </w:rPr>
      </w:pPr>
    </w:p>
    <w:p w14:paraId="6DEDA8DD" w14:textId="20AE06F6" w:rsidR="00745022" w:rsidRPr="0020632A" w:rsidRDefault="00745022" w:rsidP="00B33EBC">
      <w:pPr>
        <w:ind w:left="360"/>
        <w:outlineLvl w:val="0"/>
        <w:rPr>
          <w:b/>
        </w:rPr>
      </w:pPr>
      <w:r w:rsidRPr="00B33EBC">
        <w:rPr>
          <w:i/>
        </w:rPr>
        <w:t>If Clark decides to hold the stock</w:t>
      </w:r>
      <w:r w:rsidR="00E61FBD">
        <w:rPr>
          <w:i/>
        </w:rPr>
        <w:t>,</w:t>
      </w:r>
      <w:r w:rsidRPr="00B33EBC">
        <w:rPr>
          <w:i/>
        </w:rPr>
        <w:t xml:space="preserve"> there is risk that the value will decline</w:t>
      </w:r>
      <w:r w:rsidR="000C1A4C">
        <w:rPr>
          <w:i/>
        </w:rPr>
        <w:t xml:space="preserve">. </w:t>
      </w:r>
      <w:r w:rsidRPr="00B33EBC">
        <w:rPr>
          <w:i/>
        </w:rPr>
        <w:t>Likewise, the stock may appreciate in value if Clark decides to wait to sell</w:t>
      </w:r>
      <w:r w:rsidR="000C1A4C">
        <w:rPr>
          <w:i/>
        </w:rPr>
        <w:t xml:space="preserve">. </w:t>
      </w:r>
      <w:r w:rsidRPr="00B33EBC">
        <w:rPr>
          <w:i/>
        </w:rPr>
        <w:t xml:space="preserve">Clark should assess </w:t>
      </w:r>
      <w:r>
        <w:rPr>
          <w:i/>
        </w:rPr>
        <w:t xml:space="preserve">his risk of loss and </w:t>
      </w:r>
      <w:r w:rsidRPr="00B33EBC">
        <w:rPr>
          <w:i/>
        </w:rPr>
        <w:t>appreciation potential of the stock before selling.</w:t>
      </w:r>
    </w:p>
    <w:p w14:paraId="51741B19" w14:textId="77777777" w:rsidR="00745022" w:rsidRDefault="00745022" w:rsidP="00B33EBC">
      <w:pPr>
        <w:tabs>
          <w:tab w:val="left" w:pos="360"/>
        </w:tabs>
        <w:spacing w:after="120"/>
        <w:outlineLvl w:val="0"/>
      </w:pPr>
    </w:p>
    <w:p w14:paraId="74E0B85A" w14:textId="71ED7759" w:rsidR="00745022" w:rsidRDefault="00745022" w:rsidP="00C04668">
      <w:pPr>
        <w:numPr>
          <w:ilvl w:val="0"/>
          <w:numId w:val="1"/>
        </w:numPr>
        <w:tabs>
          <w:tab w:val="left" w:pos="360"/>
        </w:tabs>
        <w:spacing w:after="120"/>
        <w:outlineLvl w:val="0"/>
      </w:pPr>
      <w:r>
        <w:t xml:space="preserve">[LO </w:t>
      </w:r>
      <w:r w:rsidR="00925E89">
        <w:t>3</w:t>
      </w:r>
      <w:r>
        <w:t>] Are dividends and capital gains considered to be investment income for purposes of determining the amount of a taxpayer’s deductible investment interest expense for the year?</w:t>
      </w:r>
    </w:p>
    <w:p w14:paraId="6C0D58CB" w14:textId="06CABDD4" w:rsidR="00745022" w:rsidRPr="001C4238" w:rsidRDefault="0037042E" w:rsidP="001C4238">
      <w:pPr>
        <w:ind w:left="360"/>
        <w:outlineLvl w:val="0"/>
        <w:rPr>
          <w:i/>
        </w:rPr>
      </w:pPr>
      <w:r w:rsidRPr="001C4238">
        <w:rPr>
          <w:i/>
        </w:rPr>
        <w:t>Long</w:t>
      </w:r>
      <w:r>
        <w:rPr>
          <w:i/>
        </w:rPr>
        <w:t>-</w:t>
      </w:r>
      <w:r w:rsidR="00745022" w:rsidRPr="001C4238">
        <w:rPr>
          <w:i/>
        </w:rPr>
        <w:t xml:space="preserve">term capital gains and dividends that qualify for the preferential </w:t>
      </w:r>
      <w:r w:rsidR="00570A4F">
        <w:rPr>
          <w:i/>
        </w:rPr>
        <w:t>20</w:t>
      </w:r>
      <w:r w:rsidR="00C96282" w:rsidRPr="00C96282">
        <w:rPr>
          <w:i/>
        </w:rPr>
        <w:t xml:space="preserve"> </w:t>
      </w:r>
      <w:r w:rsidR="00C96282">
        <w:rPr>
          <w:i/>
        </w:rPr>
        <w:t>percent</w:t>
      </w:r>
      <w:r w:rsidR="00745022" w:rsidRPr="001C4238">
        <w:rPr>
          <w:i/>
        </w:rPr>
        <w:t xml:space="preserve"> (or lower) tax rate are not considered to be investment income for purposes of determining the investment interest expense deduction unless the taxpayer makes an election to tax this income at ordinary rates</w:t>
      </w:r>
      <w:r w:rsidR="000C1A4C">
        <w:rPr>
          <w:i/>
        </w:rPr>
        <w:t xml:space="preserve">. </w:t>
      </w:r>
      <w:r w:rsidR="00745022" w:rsidRPr="001C4238">
        <w:rPr>
          <w:i/>
        </w:rPr>
        <w:t>If the taxpayer makes this election, the dividends and long-term capital gains count as investment income for this purpose</w:t>
      </w:r>
      <w:r w:rsidR="000C1A4C">
        <w:rPr>
          <w:i/>
        </w:rPr>
        <w:t xml:space="preserve">. </w:t>
      </w:r>
      <w:r w:rsidR="00745022" w:rsidRPr="001C4238">
        <w:rPr>
          <w:i/>
        </w:rPr>
        <w:t>Dividends and capital gains that are not eligible for the preferential rate are included in investment income in determining the deductibility of investment interest expense.</w:t>
      </w:r>
    </w:p>
    <w:p w14:paraId="57144693" w14:textId="77777777" w:rsidR="00745022" w:rsidRDefault="00745022" w:rsidP="00B72314">
      <w:pPr>
        <w:tabs>
          <w:tab w:val="left" w:pos="360"/>
        </w:tabs>
        <w:spacing w:after="120"/>
        <w:outlineLvl w:val="0"/>
      </w:pPr>
    </w:p>
    <w:p w14:paraId="3FE465B8" w14:textId="2AE110DC" w:rsidR="00745022" w:rsidRDefault="00745022" w:rsidP="00C04668">
      <w:pPr>
        <w:numPr>
          <w:ilvl w:val="0"/>
          <w:numId w:val="1"/>
        </w:numPr>
        <w:tabs>
          <w:tab w:val="left" w:pos="360"/>
        </w:tabs>
        <w:spacing w:after="120"/>
        <w:outlineLvl w:val="0"/>
      </w:pPr>
      <w:r>
        <w:t xml:space="preserve">[LO </w:t>
      </w:r>
      <w:r w:rsidR="00925E89">
        <w:t>3</w:t>
      </w:r>
      <w:r>
        <w:t>] How is the amount of net investment income determined for a taxpayer</w:t>
      </w:r>
      <w:r w:rsidR="00F52D5B">
        <w:t>?</w:t>
      </w:r>
      <w:r>
        <w:t xml:space="preserve"> </w:t>
      </w:r>
    </w:p>
    <w:p w14:paraId="381F2866" w14:textId="4A9FE522" w:rsidR="00745022" w:rsidRPr="001C4238" w:rsidRDefault="00F52D5B" w:rsidP="001C4238">
      <w:pPr>
        <w:ind w:left="360"/>
        <w:outlineLvl w:val="0"/>
        <w:rPr>
          <w:i/>
        </w:rPr>
      </w:pPr>
      <w:r>
        <w:rPr>
          <w:i/>
        </w:rPr>
        <w:t>Net i</w:t>
      </w:r>
      <w:r w:rsidR="00745022" w:rsidRPr="001C4238">
        <w:rPr>
          <w:i/>
        </w:rPr>
        <w:t xml:space="preserve">nvestment </w:t>
      </w:r>
      <w:r>
        <w:rPr>
          <w:i/>
        </w:rPr>
        <w:t xml:space="preserve">income is gross investment income minus deductible investment </w:t>
      </w:r>
      <w:r w:rsidR="00745022" w:rsidRPr="001C4238">
        <w:rPr>
          <w:i/>
        </w:rPr>
        <w:t>expenses</w:t>
      </w:r>
      <w:r>
        <w:rPr>
          <w:i/>
        </w:rPr>
        <w:t>. Because investment expenses are not deductible (beginning in 2018), net investment income is essentially equivalent to gross investment income</w:t>
      </w:r>
      <w:r w:rsidR="00BA0217">
        <w:rPr>
          <w:i/>
        </w:rPr>
        <w:t>.</w:t>
      </w:r>
    </w:p>
    <w:p w14:paraId="1E5DA1C1" w14:textId="77777777" w:rsidR="00745022" w:rsidRDefault="00745022" w:rsidP="001C4238">
      <w:pPr>
        <w:tabs>
          <w:tab w:val="left" w:pos="360"/>
        </w:tabs>
        <w:spacing w:after="120"/>
        <w:outlineLvl w:val="0"/>
      </w:pPr>
    </w:p>
    <w:p w14:paraId="091334A5" w14:textId="6773E128" w:rsidR="00745022" w:rsidRDefault="00745022" w:rsidP="00C04668">
      <w:pPr>
        <w:numPr>
          <w:ilvl w:val="0"/>
          <w:numId w:val="1"/>
        </w:numPr>
        <w:tabs>
          <w:tab w:val="left" w:pos="360"/>
        </w:tabs>
        <w:spacing w:after="120"/>
        <w:outlineLvl w:val="0"/>
      </w:pPr>
      <w:r>
        <w:t xml:space="preserve">[LO </w:t>
      </w:r>
      <w:r w:rsidR="00925E89">
        <w:t>3</w:t>
      </w:r>
      <w:r>
        <w:t>] What limitations are placed on the deductibility of investment interest expense?  What happens to investment interest expense that is not deductible because of the limitations?</w:t>
      </w:r>
    </w:p>
    <w:p w14:paraId="40D75504" w14:textId="342B23E4" w:rsidR="00745022" w:rsidRPr="001C4238" w:rsidRDefault="00745022" w:rsidP="001C4238">
      <w:pPr>
        <w:ind w:left="360"/>
        <w:outlineLvl w:val="0"/>
        <w:rPr>
          <w:i/>
        </w:rPr>
      </w:pPr>
      <w:r w:rsidRPr="001C4238">
        <w:rPr>
          <w:i/>
        </w:rPr>
        <w:t>Investment interest expense is deductible, as an itemized deduction, to the extent of net investment income</w:t>
      </w:r>
      <w:r w:rsidR="000C1A4C">
        <w:rPr>
          <w:i/>
        </w:rPr>
        <w:t xml:space="preserve">. </w:t>
      </w:r>
      <w:r w:rsidRPr="001C4238">
        <w:rPr>
          <w:i/>
        </w:rPr>
        <w:t xml:space="preserve">Net investment income is </w:t>
      </w:r>
      <w:r w:rsidR="00BA0217">
        <w:rPr>
          <w:i/>
        </w:rPr>
        <w:t xml:space="preserve">equivalent to gross </w:t>
      </w:r>
      <w:r w:rsidRPr="001C4238">
        <w:rPr>
          <w:i/>
        </w:rPr>
        <w:t xml:space="preserve">investment income </w:t>
      </w:r>
      <w:r w:rsidR="00BA0217">
        <w:rPr>
          <w:i/>
        </w:rPr>
        <w:t>because investment expenses are not deductible after 201</w:t>
      </w:r>
      <w:r w:rsidR="00694B0E">
        <w:rPr>
          <w:i/>
        </w:rPr>
        <w:t xml:space="preserve">7.  </w:t>
      </w:r>
      <w:r w:rsidR="000C1A4C">
        <w:rPr>
          <w:i/>
        </w:rPr>
        <w:t xml:space="preserve"> </w:t>
      </w:r>
      <w:r w:rsidRPr="001C4238">
        <w:rPr>
          <w:i/>
        </w:rPr>
        <w:t>Investment interest expense that is not deductible because of the net investment income limitation is carried forward and treated as though it is incurred in the next year</w:t>
      </w:r>
      <w:r w:rsidR="000C1A4C">
        <w:rPr>
          <w:i/>
        </w:rPr>
        <w:t xml:space="preserve">. </w:t>
      </w:r>
      <w:r w:rsidRPr="001C4238">
        <w:rPr>
          <w:i/>
        </w:rPr>
        <w:t>Unused investment interest expense can be carried forward indefinitely.</w:t>
      </w:r>
    </w:p>
    <w:p w14:paraId="1FE54156" w14:textId="77777777" w:rsidR="00745022" w:rsidRDefault="00745022" w:rsidP="001C4238">
      <w:pPr>
        <w:tabs>
          <w:tab w:val="left" w:pos="360"/>
        </w:tabs>
        <w:spacing w:after="120"/>
        <w:outlineLvl w:val="0"/>
      </w:pPr>
    </w:p>
    <w:p w14:paraId="390853A3" w14:textId="6391A0D5" w:rsidR="00745022" w:rsidRDefault="00745022" w:rsidP="00C04668">
      <w:pPr>
        <w:numPr>
          <w:ilvl w:val="0"/>
          <w:numId w:val="1"/>
        </w:numPr>
        <w:tabs>
          <w:tab w:val="left" w:pos="360"/>
        </w:tabs>
        <w:spacing w:after="120"/>
        <w:outlineLvl w:val="0"/>
      </w:pPr>
      <w:r>
        <w:t xml:space="preserve">[LO </w:t>
      </w:r>
      <w:r w:rsidR="00925E89">
        <w:t>3</w:t>
      </w:r>
      <w:r>
        <w:t>] When taxpayers borrow money to buy municipal bonds, are they allowed to deduct interest expense on the loan?  Why or why not?</w:t>
      </w:r>
    </w:p>
    <w:p w14:paraId="0F7D746D" w14:textId="760CA470" w:rsidR="00745022" w:rsidRDefault="00745022" w:rsidP="001C4238">
      <w:pPr>
        <w:tabs>
          <w:tab w:val="left" w:pos="360"/>
        </w:tabs>
        <w:spacing w:after="120"/>
        <w:ind w:left="360"/>
        <w:outlineLvl w:val="0"/>
        <w:rPr>
          <w:i/>
        </w:rPr>
      </w:pPr>
      <w:r w:rsidRPr="001C4238">
        <w:rPr>
          <w:i/>
        </w:rPr>
        <w:t>Interest expense incurred on loans used to purchase municipal bonds is not deductible</w:t>
      </w:r>
      <w:r w:rsidR="000C1A4C">
        <w:rPr>
          <w:i/>
        </w:rPr>
        <w:t xml:space="preserve">. </w:t>
      </w:r>
      <w:r w:rsidRPr="001C4238">
        <w:rPr>
          <w:i/>
        </w:rPr>
        <w:t xml:space="preserve">The interest income from the municipal bonds is not included in income; therefore, the interest expense incurred to produce the </w:t>
      </w:r>
      <w:r w:rsidR="00694B0E" w:rsidRPr="001C4238">
        <w:rPr>
          <w:i/>
        </w:rPr>
        <w:t>tax-exempt</w:t>
      </w:r>
      <w:r w:rsidRPr="001C4238">
        <w:rPr>
          <w:i/>
        </w:rPr>
        <w:t xml:space="preserve"> income is not deductible.</w:t>
      </w:r>
    </w:p>
    <w:p w14:paraId="5AE835C4" w14:textId="77777777" w:rsidR="00745022" w:rsidRPr="001C4238" w:rsidRDefault="00745022" w:rsidP="001C4238">
      <w:pPr>
        <w:tabs>
          <w:tab w:val="left" w:pos="360"/>
        </w:tabs>
        <w:spacing w:after="120"/>
        <w:ind w:left="360"/>
        <w:outlineLvl w:val="0"/>
        <w:rPr>
          <w:i/>
        </w:rPr>
      </w:pPr>
    </w:p>
    <w:p w14:paraId="19637493" w14:textId="64D3FB65" w:rsidR="00745022" w:rsidRDefault="00745022" w:rsidP="00C04668">
      <w:pPr>
        <w:numPr>
          <w:ilvl w:val="0"/>
          <w:numId w:val="1"/>
        </w:numPr>
        <w:tabs>
          <w:tab w:val="left" w:pos="360"/>
        </w:tabs>
        <w:spacing w:after="120"/>
        <w:outlineLvl w:val="0"/>
      </w:pPr>
      <w:r>
        <w:t xml:space="preserve">[LO </w:t>
      </w:r>
      <w:r w:rsidR="00925E89">
        <w:t>3</w:t>
      </w:r>
      <w:r>
        <w:t xml:space="preserve">] </w:t>
      </w:r>
      <w:r w:rsidRPr="00804152">
        <w:t>W</w:t>
      </w:r>
      <w:r>
        <w:t>hat types of losses may potentially be characterized as passive losses?</w:t>
      </w:r>
    </w:p>
    <w:p w14:paraId="177BF31D" w14:textId="35CF827A" w:rsidR="00745022" w:rsidRPr="00804152" w:rsidRDefault="00745022" w:rsidP="00804152">
      <w:pPr>
        <w:tabs>
          <w:tab w:val="left" w:pos="360"/>
        </w:tabs>
        <w:spacing w:after="120"/>
        <w:ind w:left="360"/>
        <w:outlineLvl w:val="0"/>
        <w:rPr>
          <w:i/>
        </w:rPr>
      </w:pPr>
      <w:r w:rsidRPr="00804152">
        <w:rPr>
          <w:i/>
        </w:rPr>
        <w:t>Losses from limited partnerships, and from rental activities, including rental real estate, are generally considered passive losses</w:t>
      </w:r>
      <w:r w:rsidR="000C1A4C">
        <w:rPr>
          <w:i/>
        </w:rPr>
        <w:t xml:space="preserve">. </w:t>
      </w:r>
      <w:r w:rsidRPr="00804152">
        <w:rPr>
          <w:i/>
        </w:rPr>
        <w:t>In addition, losses from any other activity involving the conduct of a trade or business in which the taxpayer does not materially participate are also treated as passive losses</w:t>
      </w:r>
      <w:r w:rsidR="000C1A4C">
        <w:rPr>
          <w:i/>
        </w:rPr>
        <w:t xml:space="preserve">. </w:t>
      </w:r>
      <w:r w:rsidRPr="00804152">
        <w:rPr>
          <w:i/>
        </w:rPr>
        <w:t>Material participation is defin</w:t>
      </w:r>
      <w:r w:rsidRPr="00804152">
        <w:rPr>
          <w:i/>
        </w:rPr>
        <w:lastRenderedPageBreak/>
        <w:t>ed as “regular, continuous, and substantial.”</w:t>
      </w:r>
    </w:p>
    <w:p w14:paraId="092A4C7F" w14:textId="77777777" w:rsidR="00745022" w:rsidRDefault="00745022" w:rsidP="00555FF9">
      <w:pPr>
        <w:tabs>
          <w:tab w:val="left" w:pos="360"/>
        </w:tabs>
        <w:spacing w:after="120"/>
        <w:outlineLvl w:val="0"/>
      </w:pPr>
    </w:p>
    <w:p w14:paraId="4B0A1E30" w14:textId="77777777" w:rsidR="00D57CB9" w:rsidRDefault="00745022" w:rsidP="00D57CB9">
      <w:pPr>
        <w:numPr>
          <w:ilvl w:val="0"/>
          <w:numId w:val="1"/>
        </w:numPr>
        <w:tabs>
          <w:tab w:val="left" w:pos="360"/>
        </w:tabs>
        <w:spacing w:after="120"/>
        <w:outlineLvl w:val="0"/>
      </w:pPr>
      <w:r>
        <w:t xml:space="preserve">[LO </w:t>
      </w:r>
      <w:r w:rsidR="00925E89">
        <w:t>4</w:t>
      </w:r>
      <w:r>
        <w:t xml:space="preserve">] </w:t>
      </w:r>
      <w:r w:rsidRPr="00804152">
        <w:t>What</w:t>
      </w:r>
      <w:r>
        <w:t xml:space="preserve"> are the implications of treating losses as passive?</w:t>
      </w:r>
      <w:r w:rsidR="00D57CB9">
        <w:br/>
      </w:r>
      <w:r w:rsidR="00D57CB9">
        <w:br/>
      </w:r>
      <w:r w:rsidR="00D57CB9" w:rsidRPr="00A44102">
        <w:rPr>
          <w:i/>
        </w:rPr>
        <w:t>Passive losses may not be used to offset portfolio</w:t>
      </w:r>
      <w:r w:rsidR="00D57CB9">
        <w:rPr>
          <w:i/>
        </w:rPr>
        <w:t xml:space="preserve"> income</w:t>
      </w:r>
      <w:r w:rsidR="00D57CB9" w:rsidRPr="00A44102">
        <w:rPr>
          <w:i/>
        </w:rPr>
        <w:t xml:space="preserve"> or active income</w:t>
      </w:r>
      <w:r w:rsidR="00D57CB9">
        <w:rPr>
          <w:i/>
        </w:rPr>
        <w:t xml:space="preserve">. Passive losses can only be used to offset passive income. Passive losses that are limited will be </w:t>
      </w:r>
      <w:r w:rsidR="00D57CB9" w:rsidRPr="00A44102">
        <w:rPr>
          <w:i/>
        </w:rPr>
        <w:t>suspended until taxpayers have passive income or until the activity producing the passive loss is sold.</w:t>
      </w:r>
    </w:p>
    <w:p w14:paraId="0564F106" w14:textId="1950A9A0" w:rsidR="00745022" w:rsidRPr="00D57CB9" w:rsidRDefault="00BD3CD2" w:rsidP="00D57CB9">
      <w:pPr>
        <w:numPr>
          <w:ilvl w:val="0"/>
          <w:numId w:val="1"/>
        </w:numPr>
        <w:tabs>
          <w:tab w:val="left" w:pos="360"/>
        </w:tabs>
        <w:spacing w:after="120"/>
        <w:outlineLvl w:val="0"/>
      </w:pPr>
      <w:r>
        <w:t>[LO 4]</w:t>
      </w:r>
      <w:r w:rsidR="00BA0217" w:rsidRPr="00D57CB9">
        <w:rPr>
          <w:i/>
        </w:rPr>
        <w:t xml:space="preserve"> </w:t>
      </w:r>
      <w:r w:rsidR="00BA0217" w:rsidRPr="00D57CB9">
        <w:t xml:space="preserve">Discuss the treatment of </w:t>
      </w:r>
      <w:r w:rsidR="00757D78">
        <w:t xml:space="preserve">suspended </w:t>
      </w:r>
      <w:r w:rsidR="00BA0217" w:rsidRPr="00D57CB9">
        <w:t>passive losses upon the sale of a passive activity?</w:t>
      </w:r>
      <w:r w:rsidR="00D57CB9">
        <w:br/>
      </w:r>
      <w:r w:rsidR="00D57CB9">
        <w:br/>
      </w:r>
      <w:r w:rsidR="00D57CB9">
        <w:rPr>
          <w:i/>
        </w:rPr>
        <w:t>The passive loss rules limit the deductibility of passive losses to passive income until the activity is sold. When the passive activity is disposed of, the taxpayer may use the related suspended passive losses to offset any gain from the sale of the activity, passive income from other activities, and then to reduce nonpassive income. The losses allowed at the time of the disposition of an activity may be further limited by the excess business loss rules as discussed in the Individual Deductions chapter.</w:t>
      </w:r>
    </w:p>
    <w:p w14:paraId="0C7F180C" w14:textId="0EA04D7B" w:rsidR="00745022" w:rsidRDefault="00745022" w:rsidP="00C04668">
      <w:pPr>
        <w:numPr>
          <w:ilvl w:val="0"/>
          <w:numId w:val="1"/>
        </w:numPr>
        <w:tabs>
          <w:tab w:val="left" w:pos="360"/>
        </w:tabs>
        <w:spacing w:after="120"/>
        <w:outlineLvl w:val="0"/>
      </w:pPr>
      <w:r>
        <w:t xml:space="preserve">[LO </w:t>
      </w:r>
      <w:r w:rsidR="00F25E01">
        <w:t>4</w:t>
      </w:r>
      <w:r>
        <w:t xml:space="preserve">] </w:t>
      </w:r>
      <w:r w:rsidRPr="00E07C80">
        <w:t>What</w:t>
      </w:r>
      <w:r>
        <w:t xml:space="preserve"> tests are applied to determine if losses should be characterized as passive?</w:t>
      </w:r>
    </w:p>
    <w:p w14:paraId="02CA45ED" w14:textId="45BB35AC" w:rsidR="00745022" w:rsidRPr="00E87976" w:rsidRDefault="00745022" w:rsidP="00A44102">
      <w:pPr>
        <w:tabs>
          <w:tab w:val="left" w:pos="360"/>
        </w:tabs>
        <w:spacing w:after="120"/>
        <w:ind w:left="360"/>
        <w:outlineLvl w:val="0"/>
        <w:rPr>
          <w:i/>
        </w:rPr>
      </w:pPr>
      <w:r w:rsidRPr="00E87976">
        <w:rPr>
          <w:i/>
        </w:rPr>
        <w:t>In general, losses from trade or business activities are passive unless individuals are material participants in the activity</w:t>
      </w:r>
      <w:r w:rsidR="000C1A4C">
        <w:rPr>
          <w:i/>
        </w:rPr>
        <w:t xml:space="preserve">. </w:t>
      </w:r>
      <w:r w:rsidRPr="00E87976">
        <w:rPr>
          <w:i/>
        </w:rPr>
        <w:t>Regulations provide seven separate tests for material participation, and individuals can be classified as material participants by meeting any one of the seven tests</w:t>
      </w:r>
      <w:r w:rsidR="000C1A4C">
        <w:rPr>
          <w:i/>
        </w:rPr>
        <w:t xml:space="preserve">. </w:t>
      </w:r>
      <w:r w:rsidRPr="00E87976">
        <w:rPr>
          <w:i/>
        </w:rPr>
        <w:t>The seven tests are as follows:</w:t>
      </w:r>
    </w:p>
    <w:tbl>
      <w:tblPr>
        <w:tblW w:w="0" w:type="auto"/>
        <w:jc w:val="center"/>
        <w:tblLook w:val="01E0" w:firstRow="1" w:lastRow="1" w:firstColumn="1" w:lastColumn="1" w:noHBand="0" w:noVBand="0"/>
      </w:tblPr>
      <w:tblGrid>
        <w:gridCol w:w="8628"/>
      </w:tblGrid>
      <w:tr w:rsidR="00745022" w:rsidRPr="000A6D89" w14:paraId="24332559" w14:textId="77777777" w:rsidTr="000A6D89">
        <w:trPr>
          <w:jc w:val="center"/>
        </w:trPr>
        <w:tc>
          <w:tcPr>
            <w:tcW w:w="8628" w:type="dxa"/>
          </w:tcPr>
          <w:p w14:paraId="24E9461A" w14:textId="77777777" w:rsidR="00745022" w:rsidRPr="000A6D89" w:rsidRDefault="00745022" w:rsidP="000A6D89">
            <w:pPr>
              <w:spacing w:before="40" w:after="120"/>
              <w:rPr>
                <w:i/>
              </w:rPr>
            </w:pPr>
            <w:r w:rsidRPr="000A6D89">
              <w:rPr>
                <w:i/>
              </w:rPr>
              <w:t>1. The individual participates in the activity more than 500 hours during the year.</w:t>
            </w:r>
          </w:p>
        </w:tc>
      </w:tr>
      <w:tr w:rsidR="00745022" w:rsidRPr="000A6D89" w14:paraId="1B33A014" w14:textId="77777777" w:rsidTr="000A6D89">
        <w:trPr>
          <w:jc w:val="center"/>
        </w:trPr>
        <w:tc>
          <w:tcPr>
            <w:tcW w:w="8628" w:type="dxa"/>
          </w:tcPr>
          <w:p w14:paraId="592C7FE7" w14:textId="77777777" w:rsidR="00745022" w:rsidRPr="000A6D89" w:rsidRDefault="00745022" w:rsidP="000A6D89">
            <w:pPr>
              <w:spacing w:before="40" w:after="120"/>
              <w:rPr>
                <w:i/>
              </w:rPr>
            </w:pPr>
            <w:r w:rsidRPr="000A6D89">
              <w:rPr>
                <w:i/>
              </w:rPr>
              <w:lastRenderedPageBreak/>
              <w:t>2. The individual’s activity constitutes substantially all of the participation in such activity by the individual</w:t>
            </w:r>
            <w:r>
              <w:rPr>
                <w:i/>
              </w:rPr>
              <w:t xml:space="preserve">s </w:t>
            </w:r>
            <w:r w:rsidRPr="008437A8">
              <w:rPr>
                <w:i/>
              </w:rPr>
              <w:t>including non</w:t>
            </w:r>
            <w:r>
              <w:rPr>
                <w:i/>
              </w:rPr>
              <w:t>-</w:t>
            </w:r>
            <w:r w:rsidRPr="008437A8">
              <w:rPr>
                <w:i/>
              </w:rPr>
              <w:t>owners.</w:t>
            </w:r>
          </w:p>
        </w:tc>
      </w:tr>
      <w:tr w:rsidR="00745022" w:rsidRPr="000A6D89" w14:paraId="20DFA76F" w14:textId="77777777" w:rsidTr="000A6D89">
        <w:trPr>
          <w:jc w:val="center"/>
        </w:trPr>
        <w:tc>
          <w:tcPr>
            <w:tcW w:w="8628" w:type="dxa"/>
          </w:tcPr>
          <w:p w14:paraId="2690ECF8" w14:textId="77777777" w:rsidR="00745022" w:rsidRPr="000A6D89" w:rsidRDefault="00745022" w:rsidP="000A6D89">
            <w:pPr>
              <w:spacing w:before="40" w:after="120"/>
              <w:rPr>
                <w:i/>
              </w:rPr>
            </w:pPr>
            <w:r w:rsidRPr="000A6D89">
              <w:rPr>
                <w:i/>
              </w:rPr>
              <w:t>3. The individual participates more than 100 hours during the year</w:t>
            </w:r>
            <w:r w:rsidR="001B438E">
              <w:rPr>
                <w:i/>
              </w:rPr>
              <w:t xml:space="preserve">, </w:t>
            </w:r>
            <w:r w:rsidR="001B438E" w:rsidRPr="000A6D89">
              <w:rPr>
                <w:i/>
              </w:rPr>
              <w:t>and</w:t>
            </w:r>
            <w:r w:rsidRPr="000A6D89">
              <w:rPr>
                <w:i/>
              </w:rPr>
              <w:t xml:space="preserve"> the individual’s participation is not less than any other individual’s participation in the activity.</w:t>
            </w:r>
          </w:p>
        </w:tc>
      </w:tr>
      <w:tr w:rsidR="00745022" w:rsidRPr="000A6D89" w14:paraId="58957047" w14:textId="77777777" w:rsidTr="000A6D89">
        <w:trPr>
          <w:jc w:val="center"/>
        </w:trPr>
        <w:tc>
          <w:tcPr>
            <w:tcW w:w="8628" w:type="dxa"/>
          </w:tcPr>
          <w:p w14:paraId="3F270FC9" w14:textId="77777777" w:rsidR="00745022" w:rsidRPr="000A6D89" w:rsidRDefault="00745022" w:rsidP="000A6D89">
            <w:pPr>
              <w:spacing w:before="40" w:after="120"/>
              <w:rPr>
                <w:i/>
              </w:rPr>
            </w:pPr>
            <w:r w:rsidRPr="000A6D89">
              <w:rPr>
                <w:i/>
              </w:rPr>
              <w:t>4. The activity qualifies as a “significant participation activity” (more than 100 hours</w:t>
            </w:r>
            <w:r>
              <w:t xml:space="preserve"> </w:t>
            </w:r>
            <w:r w:rsidRPr="00C31CE5">
              <w:rPr>
                <w:i/>
              </w:rPr>
              <w:t>spent during the year</w:t>
            </w:r>
            <w:r w:rsidRPr="000A6D89">
              <w:rPr>
                <w:i/>
              </w:rPr>
              <w:t>) and the aggregate of all “significant participation activities” is greater than 500 hours for the year.</w:t>
            </w:r>
          </w:p>
        </w:tc>
      </w:tr>
      <w:tr w:rsidR="00745022" w:rsidRPr="000A6D89" w14:paraId="63261028" w14:textId="77777777" w:rsidTr="000A6D89">
        <w:trPr>
          <w:jc w:val="center"/>
        </w:trPr>
        <w:tc>
          <w:tcPr>
            <w:tcW w:w="8628" w:type="dxa"/>
          </w:tcPr>
          <w:p w14:paraId="780140F6" w14:textId="77777777" w:rsidR="00745022" w:rsidRPr="000A6D89" w:rsidRDefault="00745022" w:rsidP="000A6D89">
            <w:pPr>
              <w:spacing w:before="40" w:after="120"/>
              <w:rPr>
                <w:i/>
              </w:rPr>
            </w:pPr>
            <w:r w:rsidRPr="000A6D89">
              <w:rPr>
                <w:i/>
              </w:rPr>
              <w:t>5. The individual materially participated in the activity for any five of the preceding 10 taxable years.</w:t>
            </w:r>
          </w:p>
        </w:tc>
      </w:tr>
      <w:tr w:rsidR="00745022" w:rsidRPr="000A6D89" w14:paraId="21488415" w14:textId="77777777" w:rsidTr="000A6D89">
        <w:trPr>
          <w:jc w:val="center"/>
        </w:trPr>
        <w:tc>
          <w:tcPr>
            <w:tcW w:w="8628" w:type="dxa"/>
          </w:tcPr>
          <w:p w14:paraId="4646B2DC" w14:textId="77777777" w:rsidR="00745022" w:rsidRPr="000A6D89" w:rsidRDefault="00745022" w:rsidP="000A6D89">
            <w:pPr>
              <w:spacing w:before="40" w:after="120"/>
              <w:rPr>
                <w:i/>
              </w:rPr>
            </w:pPr>
            <w:r w:rsidRPr="000A6D89">
              <w:rPr>
                <w:i/>
              </w:rPr>
              <w:t>6. The individual materially participated for any three preceding years in any personal service activity (personal services in health, law, accounting, architecture, etc.)</w:t>
            </w:r>
          </w:p>
        </w:tc>
      </w:tr>
      <w:tr w:rsidR="00745022" w:rsidRPr="000A6D89" w14:paraId="712199D7" w14:textId="77777777" w:rsidTr="000A6D89">
        <w:trPr>
          <w:jc w:val="center"/>
        </w:trPr>
        <w:tc>
          <w:tcPr>
            <w:tcW w:w="8628" w:type="dxa"/>
          </w:tcPr>
          <w:p w14:paraId="75FFCB27" w14:textId="3A06EAEA" w:rsidR="00745022" w:rsidRPr="000A6D89" w:rsidRDefault="00745022" w:rsidP="000A6D89">
            <w:pPr>
              <w:spacing w:before="40" w:after="120"/>
              <w:rPr>
                <w:i/>
              </w:rPr>
            </w:pPr>
            <w:r w:rsidRPr="000A6D89">
              <w:rPr>
                <w:i/>
              </w:rPr>
              <w:t>7</w:t>
            </w:r>
            <w:r w:rsidR="000C1A4C">
              <w:rPr>
                <w:i/>
              </w:rPr>
              <w:t xml:space="preserve">. </w:t>
            </w:r>
            <w:r w:rsidRPr="000A6D89">
              <w:rPr>
                <w:i/>
              </w:rPr>
              <w:t>Taking into account all the facts and circumstances, the individual participates on a regular, continuous, and substantial basis during the year.</w:t>
            </w:r>
          </w:p>
        </w:tc>
      </w:tr>
    </w:tbl>
    <w:p w14:paraId="3117C4EB" w14:textId="77777777" w:rsidR="00745022" w:rsidRDefault="00745022" w:rsidP="00855AB0">
      <w:pPr>
        <w:tabs>
          <w:tab w:val="left" w:pos="360"/>
        </w:tabs>
        <w:spacing w:after="120"/>
        <w:outlineLvl w:val="0"/>
      </w:pPr>
    </w:p>
    <w:p w14:paraId="77EA2FED" w14:textId="5E0D48E2" w:rsidR="00745022" w:rsidRDefault="00745022" w:rsidP="00C04668">
      <w:pPr>
        <w:numPr>
          <w:ilvl w:val="0"/>
          <w:numId w:val="1"/>
        </w:numPr>
        <w:tabs>
          <w:tab w:val="left" w:pos="360"/>
        </w:tabs>
        <w:spacing w:after="120"/>
        <w:outlineLvl w:val="0"/>
      </w:pPr>
      <w:r>
        <w:t xml:space="preserve">[LO </w:t>
      </w:r>
      <w:r w:rsidR="00F25E01">
        <w:t>4</w:t>
      </w:r>
      <w:r>
        <w:t xml:space="preserve">] {Planning} </w:t>
      </w:r>
      <w:r w:rsidRPr="00E87976">
        <w:t>All</w:t>
      </w:r>
      <w:r>
        <w:t xml:space="preserve"> else being equal, would a taxpayer with passive losses </w:t>
      </w:r>
      <w:r w:rsidR="001360AA">
        <w:t xml:space="preserve">prefer to </w:t>
      </w:r>
      <w:r>
        <w:t>have wage income or passive income?</w:t>
      </w:r>
    </w:p>
    <w:p w14:paraId="6E3D9F04" w14:textId="366EEE45" w:rsidR="00745022" w:rsidRDefault="00745022" w:rsidP="00E87976">
      <w:pPr>
        <w:tabs>
          <w:tab w:val="left" w:pos="360"/>
        </w:tabs>
        <w:spacing w:after="120"/>
        <w:ind w:left="360"/>
        <w:outlineLvl w:val="0"/>
        <w:rPr>
          <w:i/>
        </w:rPr>
      </w:pPr>
      <w:r w:rsidRPr="00E87976">
        <w:rPr>
          <w:i/>
        </w:rPr>
        <w:t>A taxpayer in this situation would prefer passive income because the taxpayer’s passive losses could be applied currently against the passive income to reduce the amount of tax paid currently</w:t>
      </w:r>
      <w:r w:rsidR="000C1A4C">
        <w:rPr>
          <w:i/>
        </w:rPr>
        <w:t xml:space="preserve">. </w:t>
      </w:r>
      <w:r w:rsidRPr="00E87976">
        <w:rPr>
          <w:i/>
        </w:rPr>
        <w:t>If the taxpayer had received wage income, the passive losses would have been suspended</w:t>
      </w:r>
      <w:r w:rsidR="00E61FBD">
        <w:rPr>
          <w:i/>
        </w:rPr>
        <w:t>,</w:t>
      </w:r>
      <w:r w:rsidRPr="00E87976">
        <w:rPr>
          <w:i/>
        </w:rPr>
        <w:t xml:space="preserve"> and the tax benefits </w:t>
      </w:r>
      <w:r>
        <w:rPr>
          <w:i/>
        </w:rPr>
        <w:t>associated with the</w:t>
      </w:r>
      <w:r w:rsidRPr="00E87976">
        <w:rPr>
          <w:i/>
        </w:rPr>
        <w:t xml:space="preserve"> passive losses would be deferred.</w:t>
      </w:r>
    </w:p>
    <w:p w14:paraId="4D0A4979" w14:textId="77777777" w:rsidR="00745022" w:rsidRDefault="00745022" w:rsidP="00E87976">
      <w:pPr>
        <w:tabs>
          <w:tab w:val="left" w:pos="360"/>
        </w:tabs>
        <w:spacing w:after="120"/>
        <w:ind w:left="360"/>
        <w:outlineLvl w:val="0"/>
      </w:pPr>
    </w:p>
    <w:p w14:paraId="06B105C3" w14:textId="77777777" w:rsidR="00745022" w:rsidRDefault="00745022" w:rsidP="00C04668">
      <w:pPr>
        <w:outlineLvl w:val="0"/>
        <w:rPr>
          <w:rFonts w:ascii="Arial" w:hAnsi="Arial" w:cs="Arial"/>
          <w:b/>
          <w:szCs w:val="28"/>
        </w:rPr>
      </w:pPr>
    </w:p>
    <w:p w14:paraId="5036BE24" w14:textId="77777777" w:rsidR="000F521B" w:rsidRDefault="000F521B">
      <w:pPr>
        <w:rPr>
          <w:rFonts w:ascii="Arial" w:hAnsi="Arial" w:cs="Arial"/>
          <w:b/>
          <w:szCs w:val="28"/>
        </w:rPr>
      </w:pPr>
      <w:r>
        <w:rPr>
          <w:rFonts w:ascii="Arial" w:hAnsi="Arial" w:cs="Arial"/>
          <w:b/>
          <w:szCs w:val="28"/>
        </w:rPr>
        <w:br w:type="page"/>
      </w:r>
    </w:p>
    <w:p w14:paraId="5F293CAC" w14:textId="77777777" w:rsidR="00745022" w:rsidRPr="00152868" w:rsidRDefault="00745022" w:rsidP="00C04668">
      <w:pPr>
        <w:outlineLvl w:val="0"/>
        <w:rPr>
          <w:rFonts w:ascii="Arial" w:hAnsi="Arial" w:cs="Arial"/>
          <w:b/>
          <w:sz w:val="28"/>
          <w:szCs w:val="28"/>
        </w:rPr>
      </w:pPr>
      <w:r w:rsidRPr="00152868">
        <w:rPr>
          <w:rFonts w:ascii="Arial" w:hAnsi="Arial" w:cs="Arial"/>
          <w:b/>
          <w:szCs w:val="28"/>
        </w:rPr>
        <w:t>Problems</w:t>
      </w:r>
    </w:p>
    <w:p w14:paraId="4C098B45" w14:textId="77777777" w:rsidR="00745022" w:rsidRDefault="00745022" w:rsidP="00C04668">
      <w:pPr>
        <w:jc w:val="center"/>
        <w:outlineLvl w:val="0"/>
        <w:rPr>
          <w:b/>
        </w:rPr>
      </w:pPr>
    </w:p>
    <w:p w14:paraId="3C5B0C24" w14:textId="3EB1EB08" w:rsidR="00745022" w:rsidRDefault="00745022" w:rsidP="00C04668">
      <w:pPr>
        <w:numPr>
          <w:ilvl w:val="0"/>
          <w:numId w:val="1"/>
        </w:numPr>
        <w:outlineLvl w:val="0"/>
      </w:pPr>
      <w:r>
        <w:t xml:space="preserve">[LO 1] </w:t>
      </w:r>
      <w:r w:rsidRPr="00E87976">
        <w:t>Matt</w:t>
      </w:r>
      <w:r>
        <w:t xml:space="preserve"> recently deposited $20,000 in a savings account paying a guaranteed interest rate of 4 percent for the next 10 years</w:t>
      </w:r>
      <w:r w:rsidR="000C1A4C">
        <w:t xml:space="preserve">. </w:t>
      </w:r>
      <w:r>
        <w:t>If Matt expects his marginal tax rate to be 2</w:t>
      </w:r>
      <w:r w:rsidR="00185F7F">
        <w:t>2</w:t>
      </w:r>
      <w:r>
        <w:t xml:space="preserve"> percent for the next 10 years, how much interest will he earn after-tax for the first year of his investment?  How much interest will he earn after-tax for the second year of his investment if he withdraws enough cash every year to pay the tax on the interest he earns?  How much will he have in the account after four years?  How much will he have in the account after seven years?</w:t>
      </w:r>
    </w:p>
    <w:p w14:paraId="0BEDA676" w14:textId="77777777" w:rsidR="00745022" w:rsidRDefault="00745022" w:rsidP="00AD0B90">
      <w:pPr>
        <w:outlineLvl w:val="0"/>
      </w:pPr>
    </w:p>
    <w:p w14:paraId="3717A721" w14:textId="4A69F145" w:rsidR="00745022" w:rsidRPr="00AD0B90" w:rsidRDefault="00745022" w:rsidP="00AD0B90">
      <w:pPr>
        <w:ind w:left="360"/>
        <w:outlineLvl w:val="0"/>
        <w:rPr>
          <w:i/>
        </w:rPr>
      </w:pPr>
      <w:r w:rsidRPr="00AD0B90">
        <w:rPr>
          <w:i/>
        </w:rPr>
        <w:t>After one year, Matt will have earned $</w:t>
      </w:r>
      <w:r w:rsidR="00185F7F" w:rsidRPr="00AD0B90">
        <w:rPr>
          <w:i/>
        </w:rPr>
        <w:t>6</w:t>
      </w:r>
      <w:r w:rsidR="00185F7F">
        <w:rPr>
          <w:i/>
        </w:rPr>
        <w:t>24</w:t>
      </w:r>
      <w:r w:rsidR="00185F7F" w:rsidRPr="00AD0B90">
        <w:rPr>
          <w:i/>
        </w:rPr>
        <w:t xml:space="preserve"> </w:t>
      </w:r>
      <w:r w:rsidRPr="00AD0B90">
        <w:rPr>
          <w:i/>
        </w:rPr>
        <w:t xml:space="preserve">or </w:t>
      </w:r>
      <w:r w:rsidR="003B203E">
        <w:rPr>
          <w:i/>
        </w:rPr>
        <w:t>$</w:t>
      </w:r>
      <w:r w:rsidRPr="00AD0B90">
        <w:rPr>
          <w:i/>
        </w:rPr>
        <w:t>20,000 x .04(1-.</w:t>
      </w:r>
      <w:r>
        <w:rPr>
          <w:i/>
        </w:rPr>
        <w:t>2</w:t>
      </w:r>
      <w:r w:rsidR="00185F7F">
        <w:rPr>
          <w:i/>
        </w:rPr>
        <w:t>2</w:t>
      </w:r>
      <w:r w:rsidRPr="00AD0B90">
        <w:rPr>
          <w:i/>
        </w:rPr>
        <w:t>) after tax</w:t>
      </w:r>
      <w:r w:rsidR="000C1A4C">
        <w:rPr>
          <w:i/>
        </w:rPr>
        <w:t xml:space="preserve">. </w:t>
      </w:r>
      <w:r w:rsidRPr="00AD0B90">
        <w:rPr>
          <w:i/>
        </w:rPr>
        <w:t>In the second year</w:t>
      </w:r>
      <w:r>
        <w:rPr>
          <w:i/>
        </w:rPr>
        <w:t>,</w:t>
      </w:r>
      <w:r w:rsidRPr="00AD0B90">
        <w:rPr>
          <w:i/>
        </w:rPr>
        <w:t xml:space="preserve"> Matt will earn $</w:t>
      </w:r>
      <w:r w:rsidR="00185F7F" w:rsidRPr="00AD0B90">
        <w:rPr>
          <w:i/>
        </w:rPr>
        <w:t>6</w:t>
      </w:r>
      <w:r w:rsidR="00185F7F">
        <w:rPr>
          <w:i/>
        </w:rPr>
        <w:t>43</w:t>
      </w:r>
      <w:r w:rsidR="00185F7F" w:rsidRPr="00AD0B90">
        <w:rPr>
          <w:i/>
        </w:rPr>
        <w:t xml:space="preserve"> </w:t>
      </w:r>
      <w:r w:rsidRPr="00AD0B90">
        <w:rPr>
          <w:i/>
        </w:rPr>
        <w:t xml:space="preserve">after tax or </w:t>
      </w:r>
      <w:r w:rsidR="003B203E">
        <w:rPr>
          <w:i/>
        </w:rPr>
        <w:t>$</w:t>
      </w:r>
      <w:r w:rsidRPr="00AD0B90">
        <w:rPr>
          <w:i/>
        </w:rPr>
        <w:t>20,</w:t>
      </w:r>
      <w:r w:rsidR="00185F7F" w:rsidRPr="00AD0B90">
        <w:rPr>
          <w:i/>
        </w:rPr>
        <w:t>6</w:t>
      </w:r>
      <w:r w:rsidR="00185F7F">
        <w:rPr>
          <w:i/>
        </w:rPr>
        <w:t>24</w:t>
      </w:r>
      <w:r w:rsidR="00185F7F" w:rsidRPr="00AD0B90">
        <w:rPr>
          <w:i/>
        </w:rPr>
        <w:t xml:space="preserve"> </w:t>
      </w:r>
      <w:r w:rsidRPr="00AD0B90">
        <w:rPr>
          <w:i/>
        </w:rPr>
        <w:t>x .04(1-.</w:t>
      </w:r>
      <w:r>
        <w:rPr>
          <w:i/>
        </w:rPr>
        <w:t>2</w:t>
      </w:r>
      <w:r w:rsidR="00185F7F">
        <w:rPr>
          <w:i/>
        </w:rPr>
        <w:t>2</w:t>
      </w:r>
      <w:r w:rsidRPr="00AD0B90">
        <w:rPr>
          <w:i/>
        </w:rPr>
        <w:t>) after tax</w:t>
      </w:r>
      <w:r w:rsidR="000C1A4C">
        <w:rPr>
          <w:i/>
        </w:rPr>
        <w:t xml:space="preserve">. </w:t>
      </w:r>
      <w:r w:rsidRPr="00AD0B90">
        <w:rPr>
          <w:i/>
        </w:rPr>
        <w:t>After four years, Matt will have $22,</w:t>
      </w:r>
      <w:r w:rsidR="00185F7F" w:rsidRPr="00AD0B90">
        <w:rPr>
          <w:i/>
        </w:rPr>
        <w:t>6</w:t>
      </w:r>
      <w:r w:rsidR="00185F7F">
        <w:rPr>
          <w:i/>
        </w:rPr>
        <w:t>15</w:t>
      </w:r>
      <w:r w:rsidR="00185F7F" w:rsidRPr="00AD0B90">
        <w:rPr>
          <w:i/>
        </w:rPr>
        <w:t xml:space="preserve"> </w:t>
      </w:r>
      <w:r w:rsidRPr="00AD0B90">
        <w:rPr>
          <w:i/>
        </w:rPr>
        <w:t xml:space="preserve">or </w:t>
      </w:r>
      <w:r w:rsidR="003B203E">
        <w:rPr>
          <w:i/>
        </w:rPr>
        <w:t>$</w:t>
      </w:r>
      <w:r w:rsidRPr="00AD0B90">
        <w:rPr>
          <w:i/>
        </w:rPr>
        <w:t>20,000 x (1 + .04(1-.2</w:t>
      </w:r>
      <w:r w:rsidR="00185F7F">
        <w:rPr>
          <w:i/>
        </w:rPr>
        <w:t>2</w:t>
      </w:r>
      <w:r w:rsidRPr="00AD0B90">
        <w:rPr>
          <w:i/>
        </w:rPr>
        <w:t>))</w:t>
      </w:r>
      <w:r w:rsidRPr="00AD0B90">
        <w:rPr>
          <w:i/>
          <w:vertAlign w:val="superscript"/>
        </w:rPr>
        <w:t>4</w:t>
      </w:r>
      <w:r w:rsidRPr="00AD0B90">
        <w:rPr>
          <w:i/>
        </w:rPr>
        <w:t xml:space="preserve"> in the savings account</w:t>
      </w:r>
      <w:r w:rsidR="000C1A4C">
        <w:rPr>
          <w:i/>
        </w:rPr>
        <w:t xml:space="preserve">. </w:t>
      </w:r>
      <w:r w:rsidRPr="00AD0B90">
        <w:rPr>
          <w:i/>
        </w:rPr>
        <w:t>After seven years, Matt will have $24,</w:t>
      </w:r>
      <w:r w:rsidR="00185F7F">
        <w:rPr>
          <w:i/>
        </w:rPr>
        <w:t>799</w:t>
      </w:r>
      <w:r w:rsidR="00185F7F" w:rsidRPr="00AD0B90">
        <w:rPr>
          <w:i/>
        </w:rPr>
        <w:t xml:space="preserve"> </w:t>
      </w:r>
      <w:r w:rsidRPr="00AD0B90">
        <w:rPr>
          <w:i/>
        </w:rPr>
        <w:t xml:space="preserve">or </w:t>
      </w:r>
      <w:r w:rsidR="003B203E">
        <w:rPr>
          <w:i/>
        </w:rPr>
        <w:t>$</w:t>
      </w:r>
      <w:r w:rsidRPr="00AD0B90">
        <w:rPr>
          <w:i/>
        </w:rPr>
        <w:t xml:space="preserve">20,000 x </w:t>
      </w:r>
      <w:r w:rsidRPr="00E87976">
        <w:rPr>
          <w:i/>
        </w:rPr>
        <w:t>(1 + .04(1-.2</w:t>
      </w:r>
      <w:r w:rsidR="00185F7F">
        <w:rPr>
          <w:i/>
        </w:rPr>
        <w:t>2</w:t>
      </w:r>
      <w:r w:rsidRPr="00E87976">
        <w:rPr>
          <w:i/>
        </w:rPr>
        <w:t>))</w:t>
      </w:r>
      <w:r w:rsidRPr="00E87976">
        <w:rPr>
          <w:i/>
          <w:vertAlign w:val="superscript"/>
        </w:rPr>
        <w:t>7</w:t>
      </w:r>
      <w:r w:rsidRPr="00AD0B90">
        <w:rPr>
          <w:i/>
        </w:rPr>
        <w:t xml:space="preserve"> in the savings account.</w:t>
      </w:r>
    </w:p>
    <w:p w14:paraId="2173618D" w14:textId="77777777" w:rsidR="00745022" w:rsidRDefault="00745022" w:rsidP="00C04668">
      <w:pPr>
        <w:outlineLvl w:val="0"/>
      </w:pPr>
    </w:p>
    <w:p w14:paraId="6272196A" w14:textId="5D59CDA4" w:rsidR="00745022" w:rsidRPr="00D4175E" w:rsidRDefault="00745022" w:rsidP="000B44A1">
      <w:pPr>
        <w:numPr>
          <w:ilvl w:val="0"/>
          <w:numId w:val="1"/>
        </w:numPr>
        <w:outlineLvl w:val="0"/>
      </w:pPr>
      <w:r w:rsidRPr="00D4175E">
        <w:t>[LO 1] Dana intends to invest $30,000 in either a Treasury bond or a corporate bond</w:t>
      </w:r>
      <w:r w:rsidR="000C1A4C">
        <w:t xml:space="preserve">. </w:t>
      </w:r>
      <w:r w:rsidRPr="00D4175E">
        <w:t>The Treasury bond yields 5 percent before tax and the corporate bond yields 6 percent before tax</w:t>
      </w:r>
      <w:r w:rsidR="000C1A4C">
        <w:t xml:space="preserve">. </w:t>
      </w:r>
      <w:r w:rsidRPr="00D4175E">
        <w:t xml:space="preserve">Assuming Dana’s federal marginal rate is </w:t>
      </w:r>
      <w:r w:rsidR="00CB4D9E">
        <w:t>24</w:t>
      </w:r>
      <w:r w:rsidR="00CB4D9E" w:rsidRPr="00D4175E">
        <w:t xml:space="preserve"> </w:t>
      </w:r>
      <w:r w:rsidRPr="00D4175E">
        <w:t>percent and her marginal state rate is 5 percent which of the two options should she choose?  If she were to move to another state where her marginal state rate would be 10 percent, would her choice be any different?  Assume that Dana itemizes deductions.</w:t>
      </w:r>
    </w:p>
    <w:p w14:paraId="4E45E461" w14:textId="77777777" w:rsidR="00745022" w:rsidRPr="00D4175E" w:rsidRDefault="00745022" w:rsidP="002D1F4E">
      <w:pPr>
        <w:ind w:left="360"/>
        <w:outlineLvl w:val="0"/>
        <w:rPr>
          <w:i/>
        </w:rPr>
      </w:pPr>
    </w:p>
    <w:p w14:paraId="6A573427" w14:textId="77777777" w:rsidR="00745022" w:rsidRPr="00D4175E" w:rsidRDefault="00745022" w:rsidP="002D1F4E">
      <w:pPr>
        <w:ind w:left="360"/>
        <w:outlineLvl w:val="0"/>
        <w:rPr>
          <w:i/>
        </w:rPr>
      </w:pPr>
      <w:r w:rsidRPr="00D4175E">
        <w:rPr>
          <w:i/>
        </w:rPr>
        <w:t>When the state rate is 5 percent, Dana would achieve the following returns from the Treasury bond or the corporate bond:</w:t>
      </w:r>
    </w:p>
    <w:p w14:paraId="2E78B0FC" w14:textId="77777777" w:rsidR="00745022" w:rsidRPr="00D4175E" w:rsidRDefault="00745022" w:rsidP="002D1F4E">
      <w:pPr>
        <w:ind w:left="1080"/>
        <w:outlineLvl w:val="0"/>
        <w:rPr>
          <w:i/>
        </w:rPr>
      </w:pPr>
    </w:p>
    <w:p w14:paraId="672A6DD7" w14:textId="759374DF" w:rsidR="00745022" w:rsidRPr="00D4175E" w:rsidRDefault="00745022" w:rsidP="002D1F4E">
      <w:pPr>
        <w:ind w:left="360"/>
        <w:outlineLvl w:val="0"/>
        <w:rPr>
          <w:i/>
        </w:rPr>
      </w:pPr>
      <w:r w:rsidRPr="00D4175E">
        <w:rPr>
          <w:i/>
        </w:rPr>
        <w:t>The Treasury bond yields $1,</w:t>
      </w:r>
      <w:r w:rsidR="00CB4D9E" w:rsidRPr="00D4175E">
        <w:rPr>
          <w:i/>
        </w:rPr>
        <w:t>1</w:t>
      </w:r>
      <w:r w:rsidR="00CB4D9E">
        <w:rPr>
          <w:i/>
        </w:rPr>
        <w:t>40</w:t>
      </w:r>
      <w:r w:rsidR="00CB4D9E" w:rsidRPr="00D4175E">
        <w:rPr>
          <w:i/>
        </w:rPr>
        <w:t xml:space="preserve"> </w:t>
      </w:r>
      <w:r w:rsidRPr="00D4175E">
        <w:rPr>
          <w:i/>
        </w:rPr>
        <w:t xml:space="preserve">or </w:t>
      </w:r>
      <w:r w:rsidR="003B203E" w:rsidRPr="00D4175E">
        <w:rPr>
          <w:i/>
        </w:rPr>
        <w:t>$</w:t>
      </w:r>
      <w:r w:rsidRPr="00D4175E">
        <w:rPr>
          <w:i/>
        </w:rPr>
        <w:t xml:space="preserve">30,000 x [.05 </w:t>
      </w:r>
      <w:r w:rsidR="00AB5497" w:rsidRPr="00D4175E">
        <w:rPr>
          <w:i/>
        </w:rPr>
        <w:t xml:space="preserve">× </w:t>
      </w:r>
      <w:r w:rsidRPr="00D4175E">
        <w:rPr>
          <w:i/>
        </w:rPr>
        <w:t>(1-.</w:t>
      </w:r>
      <w:r w:rsidR="00CB4D9E" w:rsidRPr="00D4175E">
        <w:rPr>
          <w:i/>
        </w:rPr>
        <w:t>2</w:t>
      </w:r>
      <w:r w:rsidR="00CB4D9E">
        <w:rPr>
          <w:i/>
        </w:rPr>
        <w:t>4</w:t>
      </w:r>
      <w:r w:rsidRPr="00D4175E">
        <w:rPr>
          <w:i/>
        </w:rPr>
        <w:t>)] after tax</w:t>
      </w:r>
      <w:r w:rsidR="000C1A4C">
        <w:rPr>
          <w:i/>
        </w:rPr>
        <w:t xml:space="preserve">. </w:t>
      </w:r>
      <w:r w:rsidRPr="00D4175E">
        <w:rPr>
          <w:i/>
        </w:rPr>
        <w:t>The corporate bond yields $1,</w:t>
      </w:r>
      <w:r w:rsidR="003D0C68">
        <w:rPr>
          <w:i/>
        </w:rPr>
        <w:t>300</w:t>
      </w:r>
      <w:r w:rsidRPr="00D4175E">
        <w:rPr>
          <w:i/>
        </w:rPr>
        <w:t xml:space="preserve"> or </w:t>
      </w:r>
      <w:r w:rsidR="003B203E" w:rsidRPr="00D4175E">
        <w:rPr>
          <w:i/>
        </w:rPr>
        <w:t>$</w:t>
      </w:r>
      <w:r w:rsidRPr="00D4175E">
        <w:rPr>
          <w:i/>
        </w:rPr>
        <w:t xml:space="preserve">30,000 x [.06 </w:t>
      </w:r>
      <w:r w:rsidR="00AB5497" w:rsidRPr="00D4175E">
        <w:rPr>
          <w:i/>
        </w:rPr>
        <w:t xml:space="preserve">× </w:t>
      </w:r>
      <w:r w:rsidRPr="00D4175E">
        <w:rPr>
          <w:i/>
        </w:rPr>
        <w:t>(1 - .2</w:t>
      </w:r>
      <w:r w:rsidR="00CB4D9E">
        <w:rPr>
          <w:i/>
        </w:rPr>
        <w:t>4</w:t>
      </w:r>
      <w:r w:rsidRPr="00D4175E">
        <w:rPr>
          <w:i/>
        </w:rPr>
        <w:t xml:space="preserve"> - .05(1-.2</w:t>
      </w:r>
      <w:r w:rsidR="00CB4D9E">
        <w:rPr>
          <w:i/>
        </w:rPr>
        <w:t>4</w:t>
      </w:r>
      <w:r w:rsidRPr="00D4175E">
        <w:rPr>
          <w:i/>
        </w:rPr>
        <w:t>))] after tax</w:t>
      </w:r>
      <w:r w:rsidR="000C1A4C">
        <w:rPr>
          <w:i/>
        </w:rPr>
        <w:t xml:space="preserve">. </w:t>
      </w:r>
      <w:r w:rsidRPr="00D4175E">
        <w:rPr>
          <w:i/>
        </w:rPr>
        <w:t>Note that the actual state rate is reduced by 2</w:t>
      </w:r>
      <w:r w:rsidR="00CB4D9E">
        <w:rPr>
          <w:i/>
        </w:rPr>
        <w:t>4</w:t>
      </w:r>
      <w:r w:rsidR="00A041E9" w:rsidRPr="00A041E9">
        <w:rPr>
          <w:i/>
        </w:rPr>
        <w:t xml:space="preserve"> </w:t>
      </w:r>
      <w:r w:rsidR="00A041E9">
        <w:rPr>
          <w:i/>
        </w:rPr>
        <w:t>percent</w:t>
      </w:r>
      <w:r w:rsidRPr="00D4175E">
        <w:rPr>
          <w:i/>
        </w:rPr>
        <w:t xml:space="preserve"> to allow for the deductibility of state income taxes on the federal income tax return</w:t>
      </w:r>
      <w:r w:rsidR="000C1A4C">
        <w:rPr>
          <w:i/>
        </w:rPr>
        <w:t xml:space="preserve">. </w:t>
      </w:r>
      <w:r w:rsidRPr="00D4175E">
        <w:rPr>
          <w:i/>
        </w:rPr>
        <w:t>Thus, she should choose the corporate bond.</w:t>
      </w:r>
    </w:p>
    <w:p w14:paraId="61C4B715" w14:textId="77777777" w:rsidR="00745022" w:rsidRPr="00D4175E" w:rsidRDefault="00745022" w:rsidP="002D1F4E">
      <w:pPr>
        <w:ind w:left="1080"/>
        <w:outlineLvl w:val="0"/>
        <w:rPr>
          <w:i/>
        </w:rPr>
      </w:pPr>
    </w:p>
    <w:p w14:paraId="52B082A2" w14:textId="34F78ACB" w:rsidR="00745022" w:rsidRPr="00D4175E" w:rsidRDefault="00745022" w:rsidP="002D1F4E">
      <w:pPr>
        <w:ind w:left="360"/>
        <w:outlineLvl w:val="0"/>
        <w:rPr>
          <w:i/>
        </w:rPr>
      </w:pPr>
      <w:r w:rsidRPr="00D4175E">
        <w:rPr>
          <w:i/>
        </w:rPr>
        <w:t>When the state rate is 10</w:t>
      </w:r>
      <w:r w:rsidR="00A041E9" w:rsidRPr="00A041E9">
        <w:rPr>
          <w:i/>
        </w:rPr>
        <w:t xml:space="preserve"> </w:t>
      </w:r>
      <w:r w:rsidR="00A041E9">
        <w:rPr>
          <w:i/>
        </w:rPr>
        <w:t>percent</w:t>
      </w:r>
      <w:r w:rsidRPr="00D4175E">
        <w:rPr>
          <w:i/>
        </w:rPr>
        <w:t>, Dana would achieve the following returns from the Treasury bond or the corporate bond:</w:t>
      </w:r>
    </w:p>
    <w:p w14:paraId="5890712B" w14:textId="77777777" w:rsidR="00745022" w:rsidRPr="00593AFC" w:rsidRDefault="00745022" w:rsidP="002D1F4E">
      <w:pPr>
        <w:ind w:left="1080"/>
        <w:outlineLvl w:val="0"/>
        <w:rPr>
          <w:i/>
          <w:strike/>
        </w:rPr>
      </w:pPr>
    </w:p>
    <w:p w14:paraId="3852632D" w14:textId="13FCCA7C" w:rsidR="00745022" w:rsidRPr="00D4175E" w:rsidRDefault="00745022" w:rsidP="002D1F4E">
      <w:pPr>
        <w:ind w:left="360"/>
        <w:outlineLvl w:val="0"/>
        <w:rPr>
          <w:b/>
        </w:rPr>
      </w:pPr>
      <w:r w:rsidRPr="00D4175E">
        <w:rPr>
          <w:i/>
        </w:rPr>
        <w:t>The Treasury bond would still yield $1,</w:t>
      </w:r>
      <w:r w:rsidR="00CB4D9E" w:rsidRPr="00D4175E">
        <w:rPr>
          <w:i/>
        </w:rPr>
        <w:t>1</w:t>
      </w:r>
      <w:r w:rsidR="00CB4D9E">
        <w:rPr>
          <w:i/>
        </w:rPr>
        <w:t>40</w:t>
      </w:r>
      <w:r w:rsidR="00CB4D9E" w:rsidRPr="00D4175E">
        <w:rPr>
          <w:i/>
        </w:rPr>
        <w:t xml:space="preserve"> </w:t>
      </w:r>
      <w:r w:rsidRPr="00D4175E">
        <w:rPr>
          <w:i/>
        </w:rPr>
        <w:t xml:space="preserve">or </w:t>
      </w:r>
      <w:r w:rsidR="003B203E" w:rsidRPr="00D4175E">
        <w:rPr>
          <w:i/>
        </w:rPr>
        <w:t>$</w:t>
      </w:r>
      <w:r w:rsidRPr="00D4175E">
        <w:rPr>
          <w:i/>
        </w:rPr>
        <w:t xml:space="preserve">30,000 x [.05 </w:t>
      </w:r>
      <w:r w:rsidR="00AB5497" w:rsidRPr="00D4175E">
        <w:rPr>
          <w:i/>
        </w:rPr>
        <w:t xml:space="preserve">× </w:t>
      </w:r>
      <w:r w:rsidRPr="00D4175E">
        <w:rPr>
          <w:i/>
        </w:rPr>
        <w:t>(1-.2</w:t>
      </w:r>
      <w:r w:rsidR="00CB4D9E">
        <w:rPr>
          <w:i/>
        </w:rPr>
        <w:t>4</w:t>
      </w:r>
      <w:r w:rsidRPr="00D4175E">
        <w:rPr>
          <w:i/>
        </w:rPr>
        <w:t>)] after tax because state rates don’t affect after- tax returns from Treasury bonds</w:t>
      </w:r>
      <w:r w:rsidR="000C1A4C">
        <w:rPr>
          <w:i/>
        </w:rPr>
        <w:t xml:space="preserve">. </w:t>
      </w:r>
      <w:r w:rsidRPr="00D4175E">
        <w:rPr>
          <w:i/>
        </w:rPr>
        <w:t>The corporate bond yields $1,</w:t>
      </w:r>
      <w:r w:rsidR="003D0C68" w:rsidRPr="00D4175E">
        <w:rPr>
          <w:i/>
        </w:rPr>
        <w:t>2</w:t>
      </w:r>
      <w:r w:rsidR="003D0C68">
        <w:rPr>
          <w:i/>
        </w:rPr>
        <w:t>31</w:t>
      </w:r>
      <w:r w:rsidR="003D0C68" w:rsidRPr="00D4175E">
        <w:rPr>
          <w:i/>
        </w:rPr>
        <w:t xml:space="preserve"> </w:t>
      </w:r>
      <w:r w:rsidRPr="00D4175E">
        <w:rPr>
          <w:i/>
        </w:rPr>
        <w:t xml:space="preserve">or </w:t>
      </w:r>
      <w:r w:rsidR="003B203E" w:rsidRPr="00D4175E">
        <w:rPr>
          <w:i/>
        </w:rPr>
        <w:t>$</w:t>
      </w:r>
      <w:r w:rsidRPr="00D4175E">
        <w:rPr>
          <w:i/>
        </w:rPr>
        <w:t>30,000 x [.06 x (1 - .</w:t>
      </w:r>
      <w:r w:rsidR="00CB4D9E" w:rsidRPr="00D4175E">
        <w:rPr>
          <w:i/>
        </w:rPr>
        <w:t>2</w:t>
      </w:r>
      <w:r w:rsidR="00CB4D9E">
        <w:rPr>
          <w:i/>
        </w:rPr>
        <w:t>4</w:t>
      </w:r>
      <w:r w:rsidR="00CB4D9E" w:rsidRPr="00D4175E">
        <w:rPr>
          <w:i/>
        </w:rPr>
        <w:t xml:space="preserve"> </w:t>
      </w:r>
      <w:r w:rsidRPr="00D4175E">
        <w:rPr>
          <w:i/>
        </w:rPr>
        <w:t>- .10(1-.</w:t>
      </w:r>
      <w:r w:rsidR="00CB4D9E" w:rsidRPr="00D4175E">
        <w:rPr>
          <w:i/>
        </w:rPr>
        <w:t>2</w:t>
      </w:r>
      <w:r w:rsidR="00CB4D9E">
        <w:rPr>
          <w:i/>
        </w:rPr>
        <w:t>4</w:t>
      </w:r>
      <w:r w:rsidRPr="00D4175E">
        <w:rPr>
          <w:i/>
        </w:rPr>
        <w:t>))] after tax</w:t>
      </w:r>
      <w:r w:rsidR="000C1A4C">
        <w:rPr>
          <w:i/>
        </w:rPr>
        <w:t xml:space="preserve">. </w:t>
      </w:r>
      <w:r w:rsidRPr="00D4175E">
        <w:rPr>
          <w:i/>
        </w:rPr>
        <w:t xml:space="preserve">Again, note that the actual state rate is reduced by </w:t>
      </w:r>
      <w:r w:rsidR="003D0C68" w:rsidRPr="00D4175E">
        <w:rPr>
          <w:i/>
        </w:rPr>
        <w:t>2</w:t>
      </w:r>
      <w:r w:rsidR="003D0C68">
        <w:rPr>
          <w:i/>
        </w:rPr>
        <w:t>4</w:t>
      </w:r>
      <w:r w:rsidR="003D0C68" w:rsidRPr="00A041E9">
        <w:rPr>
          <w:i/>
        </w:rPr>
        <w:t xml:space="preserve"> </w:t>
      </w:r>
      <w:r w:rsidR="00A041E9">
        <w:rPr>
          <w:i/>
        </w:rPr>
        <w:t>percent</w:t>
      </w:r>
      <w:r w:rsidRPr="00D4175E">
        <w:rPr>
          <w:i/>
        </w:rPr>
        <w:t xml:space="preserve"> to allow for the deductibility of state income taxes on the federal income tax return</w:t>
      </w:r>
      <w:r w:rsidR="000C1A4C">
        <w:rPr>
          <w:i/>
        </w:rPr>
        <w:t xml:space="preserve">. </w:t>
      </w:r>
      <w:r w:rsidRPr="00D4175E">
        <w:rPr>
          <w:i/>
        </w:rPr>
        <w:t>If Dana’s state tax rate increases to 10</w:t>
      </w:r>
      <w:r w:rsidR="00A041E9" w:rsidRPr="00A041E9">
        <w:rPr>
          <w:i/>
        </w:rPr>
        <w:t xml:space="preserve"> </w:t>
      </w:r>
      <w:r w:rsidR="00A041E9">
        <w:rPr>
          <w:i/>
        </w:rPr>
        <w:t>percent</w:t>
      </w:r>
      <w:r w:rsidRPr="00D4175E">
        <w:rPr>
          <w:i/>
        </w:rPr>
        <w:t>, corporate bonds are still superior to Treasury bonds.</w:t>
      </w:r>
    </w:p>
    <w:p w14:paraId="4BB3860C" w14:textId="77777777" w:rsidR="00745022" w:rsidRDefault="00745022" w:rsidP="00C04668">
      <w:pPr>
        <w:outlineLvl w:val="0"/>
      </w:pPr>
    </w:p>
    <w:p w14:paraId="412A45E3" w14:textId="7117CE27" w:rsidR="00745022" w:rsidRDefault="00745022" w:rsidP="00C04668">
      <w:pPr>
        <w:numPr>
          <w:ilvl w:val="0"/>
          <w:numId w:val="1"/>
        </w:numPr>
        <w:outlineLvl w:val="0"/>
      </w:pPr>
      <w:r>
        <w:t xml:space="preserve"> </w:t>
      </w:r>
      <w:r w:rsidRPr="006B22F3">
        <w:t>[LO 1] At</w:t>
      </w:r>
      <w:r>
        <w:t xml:space="preserve"> the beginning of his current tax year David invests $12,000 in original issue U.S. Treasury bonds with a $10,000 face value that mature in exactly 10 years</w:t>
      </w:r>
      <w:r w:rsidR="000C1A4C">
        <w:t xml:space="preserve">. </w:t>
      </w:r>
      <w:r>
        <w:t>David receives $700 in interest ($350 every six months) from the Treasury bonds during the current year and the yield to maturity on the bonds is 5 percent.</w:t>
      </w:r>
    </w:p>
    <w:p w14:paraId="0DC7F2E7" w14:textId="77777777" w:rsidR="00745022" w:rsidRDefault="00745022" w:rsidP="007373FE">
      <w:pPr>
        <w:outlineLvl w:val="0"/>
      </w:pPr>
    </w:p>
    <w:p w14:paraId="4ABE4ECD" w14:textId="77777777" w:rsidR="00745022" w:rsidRDefault="00745022" w:rsidP="007373FE">
      <w:pPr>
        <w:ind w:left="600" w:hanging="240"/>
        <w:outlineLvl w:val="0"/>
      </w:pPr>
      <w:r>
        <w:t xml:space="preserve">a. How much interest income will he report this year if he elects to amortize the bond premium? </w:t>
      </w:r>
    </w:p>
    <w:p w14:paraId="01E1E1DF" w14:textId="77777777" w:rsidR="009F0CBE" w:rsidRDefault="009F0CBE" w:rsidP="009F0CBE">
      <w:pPr>
        <w:ind w:left="600" w:hanging="240"/>
        <w:outlineLvl w:val="0"/>
      </w:pPr>
      <w:r>
        <w:t>b. How much interest will he report this year if he does not elect to amortize the bond premium?</w:t>
      </w:r>
    </w:p>
    <w:p w14:paraId="51A2E1DB" w14:textId="77777777" w:rsidR="00745022" w:rsidRPr="009F0CBE" w:rsidRDefault="00745022" w:rsidP="007373FE">
      <w:pPr>
        <w:ind w:left="600" w:hanging="240"/>
        <w:outlineLvl w:val="0"/>
        <w:rPr>
          <w:b/>
        </w:rPr>
      </w:pPr>
    </w:p>
    <w:p w14:paraId="70BF7117" w14:textId="394CA741" w:rsidR="00745022" w:rsidRPr="006B22F3" w:rsidRDefault="00745022" w:rsidP="009F0CBE">
      <w:pPr>
        <w:numPr>
          <w:ilvl w:val="1"/>
          <w:numId w:val="1"/>
        </w:numPr>
        <w:outlineLvl w:val="0"/>
        <w:rPr>
          <w:i/>
        </w:rPr>
      </w:pPr>
      <w:r w:rsidRPr="006B22F3">
        <w:rPr>
          <w:i/>
        </w:rPr>
        <w:t xml:space="preserve">If David elects to amortize the $2,000 bond premium, he will use the constant yield method (similar to the </w:t>
      </w:r>
      <w:r w:rsidR="007F06DF">
        <w:rPr>
          <w:i/>
        </w:rPr>
        <w:t xml:space="preserve">effective interest </w:t>
      </w:r>
      <w:r w:rsidRPr="006B22F3">
        <w:rPr>
          <w:i/>
        </w:rPr>
        <w:t>method used to amortize bond premium under GAAP) to amortize the bond premium semiannually</w:t>
      </w:r>
      <w:r w:rsidR="000C1A4C">
        <w:rPr>
          <w:i/>
        </w:rPr>
        <w:t xml:space="preserve">. </w:t>
      </w:r>
      <w:r>
        <w:rPr>
          <w:i/>
        </w:rPr>
        <w:t xml:space="preserve">Ultimately, he will report $599 of interest income from the bond. </w:t>
      </w:r>
      <w:r w:rsidRPr="006B22F3">
        <w:rPr>
          <w:i/>
        </w:rPr>
        <w:t>The amortization table below reflects the required calculations:</w:t>
      </w:r>
    </w:p>
    <w:p w14:paraId="7B626AB9" w14:textId="77777777" w:rsidR="00745022" w:rsidRPr="006B22F3" w:rsidRDefault="00745022" w:rsidP="007373FE">
      <w:pPr>
        <w:ind w:left="600" w:hanging="240"/>
        <w:outlineLvl w:val="0"/>
        <w:rPr>
          <w:i/>
        </w:rPr>
      </w:pPr>
      <w:r w:rsidRPr="006B22F3">
        <w:rPr>
          <w:i/>
        </w:rPr>
        <w:tab/>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1667"/>
        <w:gridCol w:w="1602"/>
        <w:gridCol w:w="1697"/>
        <w:gridCol w:w="1606"/>
      </w:tblGrid>
      <w:tr w:rsidR="00745022" w:rsidRPr="000A6D89" w14:paraId="29DF573F" w14:textId="77777777" w:rsidTr="000A6D89">
        <w:tc>
          <w:tcPr>
            <w:tcW w:w="1063" w:type="dxa"/>
          </w:tcPr>
          <w:p w14:paraId="09A546A7" w14:textId="77777777" w:rsidR="00745022" w:rsidRPr="000A6D89" w:rsidRDefault="00745022" w:rsidP="000A6D89">
            <w:pPr>
              <w:jc w:val="center"/>
              <w:outlineLvl w:val="0"/>
              <w:rPr>
                <w:b/>
                <w:i/>
              </w:rPr>
            </w:pPr>
            <w:r w:rsidRPr="000A6D89">
              <w:rPr>
                <w:b/>
                <w:i/>
              </w:rPr>
              <w:t>Column 1</w:t>
            </w:r>
          </w:p>
          <w:p w14:paraId="2494297F" w14:textId="77777777" w:rsidR="00745022" w:rsidRPr="000A6D89" w:rsidRDefault="00745022" w:rsidP="000A6D89">
            <w:pPr>
              <w:jc w:val="center"/>
              <w:outlineLvl w:val="0"/>
              <w:rPr>
                <w:i/>
              </w:rPr>
            </w:pPr>
            <w:r w:rsidRPr="000A6D89">
              <w:rPr>
                <w:i/>
              </w:rPr>
              <w:t>Semiannual Period</w:t>
            </w:r>
          </w:p>
        </w:tc>
        <w:tc>
          <w:tcPr>
            <w:tcW w:w="1771" w:type="dxa"/>
          </w:tcPr>
          <w:p w14:paraId="6308A2C9" w14:textId="77777777" w:rsidR="00745022" w:rsidRPr="000A6D89" w:rsidRDefault="00745022" w:rsidP="000A6D89">
            <w:pPr>
              <w:jc w:val="center"/>
              <w:outlineLvl w:val="0"/>
              <w:rPr>
                <w:b/>
                <w:i/>
              </w:rPr>
            </w:pPr>
            <w:r w:rsidRPr="000A6D89">
              <w:rPr>
                <w:b/>
                <w:i/>
              </w:rPr>
              <w:t>Column 2</w:t>
            </w:r>
          </w:p>
          <w:p w14:paraId="5D59D4F5" w14:textId="77777777" w:rsidR="00745022" w:rsidRPr="000A6D89" w:rsidRDefault="00745022" w:rsidP="000A6D89">
            <w:pPr>
              <w:jc w:val="center"/>
              <w:outlineLvl w:val="0"/>
              <w:rPr>
                <w:i/>
              </w:rPr>
            </w:pPr>
            <w:r w:rsidRPr="000A6D89">
              <w:rPr>
                <w:i/>
              </w:rPr>
              <w:t>Adjusted Basis of Bond at Beginning of Semiannual Period</w:t>
            </w:r>
          </w:p>
        </w:tc>
        <w:tc>
          <w:tcPr>
            <w:tcW w:w="1771" w:type="dxa"/>
          </w:tcPr>
          <w:p w14:paraId="5A4B8FF9" w14:textId="77777777" w:rsidR="00745022" w:rsidRPr="000A6D89" w:rsidRDefault="00745022" w:rsidP="000A6D89">
            <w:pPr>
              <w:jc w:val="center"/>
              <w:outlineLvl w:val="0"/>
              <w:rPr>
                <w:b/>
                <w:i/>
              </w:rPr>
            </w:pPr>
            <w:r w:rsidRPr="000A6D89">
              <w:rPr>
                <w:b/>
                <w:i/>
              </w:rPr>
              <w:t>Column 3</w:t>
            </w:r>
          </w:p>
          <w:p w14:paraId="1FDF1C8D" w14:textId="77777777" w:rsidR="00745022" w:rsidRPr="000A6D89" w:rsidRDefault="00745022" w:rsidP="000A6D89">
            <w:pPr>
              <w:jc w:val="center"/>
              <w:outlineLvl w:val="0"/>
              <w:rPr>
                <w:i/>
              </w:rPr>
            </w:pPr>
            <w:r w:rsidRPr="000A6D89">
              <w:rPr>
                <w:i/>
              </w:rPr>
              <w:t>Interest Received</w:t>
            </w:r>
          </w:p>
          <w:p w14:paraId="4D56FF93" w14:textId="77777777" w:rsidR="00745022" w:rsidRPr="000A6D89" w:rsidRDefault="00745022" w:rsidP="000A6D89">
            <w:pPr>
              <w:jc w:val="center"/>
              <w:outlineLvl w:val="0"/>
              <w:rPr>
                <w:i/>
              </w:rPr>
            </w:pPr>
          </w:p>
        </w:tc>
        <w:tc>
          <w:tcPr>
            <w:tcW w:w="1771" w:type="dxa"/>
          </w:tcPr>
          <w:p w14:paraId="1D9786A4" w14:textId="77777777" w:rsidR="00745022" w:rsidRPr="000A6D89" w:rsidRDefault="00745022" w:rsidP="000A6D89">
            <w:pPr>
              <w:jc w:val="center"/>
              <w:outlineLvl w:val="0"/>
              <w:rPr>
                <w:b/>
                <w:i/>
              </w:rPr>
            </w:pPr>
            <w:r w:rsidRPr="000A6D89">
              <w:rPr>
                <w:b/>
                <w:i/>
              </w:rPr>
              <w:t>Column 4</w:t>
            </w:r>
          </w:p>
          <w:p w14:paraId="59150C0E" w14:textId="77777777" w:rsidR="00745022" w:rsidRPr="000A6D89" w:rsidRDefault="00745022" w:rsidP="000A6D89">
            <w:pPr>
              <w:jc w:val="center"/>
              <w:outlineLvl w:val="0"/>
              <w:rPr>
                <w:i/>
              </w:rPr>
            </w:pPr>
            <w:r w:rsidRPr="000A6D89">
              <w:rPr>
                <w:i/>
              </w:rPr>
              <w:t>Premium Amortization</w:t>
            </w:r>
          </w:p>
          <w:p w14:paraId="177C640F" w14:textId="77777777" w:rsidR="00745022" w:rsidRPr="000A6D89" w:rsidRDefault="00745022" w:rsidP="000A6D89">
            <w:pPr>
              <w:jc w:val="center"/>
              <w:outlineLvl w:val="0"/>
              <w:rPr>
                <w:i/>
              </w:rPr>
            </w:pPr>
            <w:r w:rsidRPr="000A6D89">
              <w:rPr>
                <w:i/>
              </w:rPr>
              <w:t>(Column 3 – Column 5)</w:t>
            </w:r>
          </w:p>
        </w:tc>
        <w:tc>
          <w:tcPr>
            <w:tcW w:w="1772" w:type="dxa"/>
          </w:tcPr>
          <w:p w14:paraId="1A17474D" w14:textId="77777777" w:rsidR="00745022" w:rsidRPr="000A6D89" w:rsidRDefault="00745022" w:rsidP="000A6D89">
            <w:pPr>
              <w:jc w:val="center"/>
              <w:outlineLvl w:val="0"/>
              <w:rPr>
                <w:b/>
                <w:i/>
              </w:rPr>
            </w:pPr>
            <w:r w:rsidRPr="000A6D89">
              <w:rPr>
                <w:b/>
                <w:i/>
              </w:rPr>
              <w:t>Column 5</w:t>
            </w:r>
          </w:p>
          <w:p w14:paraId="0A172320" w14:textId="77777777" w:rsidR="00745022" w:rsidRPr="000A6D89" w:rsidRDefault="00745022" w:rsidP="000A6D89">
            <w:pPr>
              <w:jc w:val="center"/>
              <w:outlineLvl w:val="0"/>
              <w:rPr>
                <w:i/>
              </w:rPr>
            </w:pPr>
            <w:r w:rsidRPr="000A6D89">
              <w:rPr>
                <w:i/>
              </w:rPr>
              <w:t>Reported Interest</w:t>
            </w:r>
          </w:p>
          <w:p w14:paraId="34AB4769" w14:textId="77777777" w:rsidR="00745022" w:rsidRPr="000A6D89" w:rsidRDefault="00745022" w:rsidP="000A6D89">
            <w:pPr>
              <w:jc w:val="center"/>
              <w:outlineLvl w:val="0"/>
              <w:rPr>
                <w:i/>
              </w:rPr>
            </w:pPr>
            <w:r w:rsidRPr="000A6D89">
              <w:rPr>
                <w:i/>
              </w:rPr>
              <w:t>(Column 2 x .05 x .5)</w:t>
            </w:r>
          </w:p>
        </w:tc>
      </w:tr>
      <w:tr w:rsidR="00745022" w:rsidRPr="000A6D89" w14:paraId="771EFCFA" w14:textId="77777777" w:rsidTr="000A6D89">
        <w:tc>
          <w:tcPr>
            <w:tcW w:w="1063" w:type="dxa"/>
          </w:tcPr>
          <w:p w14:paraId="7822C607" w14:textId="77777777" w:rsidR="00745022" w:rsidRPr="000A6D89" w:rsidRDefault="00745022" w:rsidP="000A6D89">
            <w:pPr>
              <w:outlineLvl w:val="0"/>
              <w:rPr>
                <w:i/>
              </w:rPr>
            </w:pPr>
            <w:r w:rsidRPr="000A6D89">
              <w:rPr>
                <w:i/>
              </w:rPr>
              <w:t>1</w:t>
            </w:r>
          </w:p>
        </w:tc>
        <w:tc>
          <w:tcPr>
            <w:tcW w:w="1771" w:type="dxa"/>
          </w:tcPr>
          <w:p w14:paraId="6913F8F2" w14:textId="77777777" w:rsidR="00745022" w:rsidRPr="000A6D89" w:rsidRDefault="00745022" w:rsidP="000A6D89">
            <w:pPr>
              <w:jc w:val="center"/>
              <w:outlineLvl w:val="0"/>
              <w:rPr>
                <w:i/>
              </w:rPr>
            </w:pPr>
            <w:r w:rsidRPr="000A6D89">
              <w:rPr>
                <w:i/>
              </w:rPr>
              <w:t>$12,000</w:t>
            </w:r>
          </w:p>
        </w:tc>
        <w:tc>
          <w:tcPr>
            <w:tcW w:w="1771" w:type="dxa"/>
          </w:tcPr>
          <w:p w14:paraId="3E42463D" w14:textId="77777777" w:rsidR="00745022" w:rsidRPr="000A6D89" w:rsidRDefault="00745022" w:rsidP="000A6D89">
            <w:pPr>
              <w:jc w:val="center"/>
              <w:outlineLvl w:val="0"/>
              <w:rPr>
                <w:i/>
              </w:rPr>
            </w:pPr>
            <w:r w:rsidRPr="000A6D89">
              <w:rPr>
                <w:i/>
              </w:rPr>
              <w:t>$350</w:t>
            </w:r>
          </w:p>
        </w:tc>
        <w:tc>
          <w:tcPr>
            <w:tcW w:w="1771" w:type="dxa"/>
          </w:tcPr>
          <w:p w14:paraId="0F8D6256" w14:textId="77777777" w:rsidR="00745022" w:rsidRPr="000A6D89" w:rsidRDefault="00745022" w:rsidP="000A6D89">
            <w:pPr>
              <w:jc w:val="center"/>
              <w:outlineLvl w:val="0"/>
              <w:rPr>
                <w:i/>
              </w:rPr>
            </w:pPr>
            <w:r w:rsidRPr="000A6D89">
              <w:rPr>
                <w:i/>
              </w:rPr>
              <w:t>$50</w:t>
            </w:r>
          </w:p>
        </w:tc>
        <w:tc>
          <w:tcPr>
            <w:tcW w:w="1772" w:type="dxa"/>
          </w:tcPr>
          <w:p w14:paraId="3E023E5B" w14:textId="77777777" w:rsidR="00745022" w:rsidRPr="000A6D89" w:rsidRDefault="00745022" w:rsidP="000A6D89">
            <w:pPr>
              <w:jc w:val="center"/>
              <w:outlineLvl w:val="0"/>
              <w:rPr>
                <w:i/>
              </w:rPr>
            </w:pPr>
            <w:r w:rsidRPr="000A6D89">
              <w:rPr>
                <w:i/>
              </w:rPr>
              <w:t>$300</w:t>
            </w:r>
          </w:p>
        </w:tc>
      </w:tr>
      <w:tr w:rsidR="00745022" w:rsidRPr="000A6D89" w14:paraId="58390C13" w14:textId="77777777" w:rsidTr="000A6D89">
        <w:tc>
          <w:tcPr>
            <w:tcW w:w="1063" w:type="dxa"/>
          </w:tcPr>
          <w:p w14:paraId="7ADBED71" w14:textId="77777777" w:rsidR="00745022" w:rsidRPr="000A6D89" w:rsidRDefault="00745022" w:rsidP="000A6D89">
            <w:pPr>
              <w:outlineLvl w:val="0"/>
              <w:rPr>
                <w:i/>
              </w:rPr>
            </w:pPr>
            <w:r w:rsidRPr="000A6D89">
              <w:rPr>
                <w:i/>
              </w:rPr>
              <w:t>2</w:t>
            </w:r>
          </w:p>
        </w:tc>
        <w:tc>
          <w:tcPr>
            <w:tcW w:w="1771" w:type="dxa"/>
          </w:tcPr>
          <w:p w14:paraId="6230F42C" w14:textId="77777777" w:rsidR="00745022" w:rsidRPr="000A6D89" w:rsidRDefault="00745022" w:rsidP="000A6D89">
            <w:pPr>
              <w:jc w:val="center"/>
              <w:outlineLvl w:val="0"/>
              <w:rPr>
                <w:i/>
              </w:rPr>
            </w:pPr>
            <w:r w:rsidRPr="000A6D89">
              <w:rPr>
                <w:i/>
              </w:rPr>
              <w:t>$11,950</w:t>
            </w:r>
          </w:p>
        </w:tc>
        <w:tc>
          <w:tcPr>
            <w:tcW w:w="1771" w:type="dxa"/>
          </w:tcPr>
          <w:p w14:paraId="0B141A06" w14:textId="77777777" w:rsidR="00745022" w:rsidRPr="000A6D89" w:rsidRDefault="00745022" w:rsidP="000A6D89">
            <w:pPr>
              <w:jc w:val="center"/>
              <w:outlineLvl w:val="0"/>
              <w:rPr>
                <w:i/>
              </w:rPr>
            </w:pPr>
            <w:r w:rsidRPr="000A6D89">
              <w:rPr>
                <w:i/>
              </w:rPr>
              <w:t>$350</w:t>
            </w:r>
          </w:p>
        </w:tc>
        <w:tc>
          <w:tcPr>
            <w:tcW w:w="1771" w:type="dxa"/>
          </w:tcPr>
          <w:p w14:paraId="1D370A16" w14:textId="77777777" w:rsidR="00745022" w:rsidRPr="000A6D89" w:rsidRDefault="00745022" w:rsidP="000A6D89">
            <w:pPr>
              <w:jc w:val="center"/>
              <w:outlineLvl w:val="0"/>
              <w:rPr>
                <w:i/>
              </w:rPr>
            </w:pPr>
            <w:r w:rsidRPr="000A6D89">
              <w:rPr>
                <w:i/>
              </w:rPr>
              <w:t>$</w:t>
            </w:r>
            <w:r>
              <w:rPr>
                <w:i/>
              </w:rPr>
              <w:t>51</w:t>
            </w:r>
          </w:p>
        </w:tc>
        <w:tc>
          <w:tcPr>
            <w:tcW w:w="1772" w:type="dxa"/>
          </w:tcPr>
          <w:p w14:paraId="638AA06B" w14:textId="77777777" w:rsidR="00745022" w:rsidRPr="000A6D89" w:rsidRDefault="00745022" w:rsidP="000A6D89">
            <w:pPr>
              <w:jc w:val="center"/>
              <w:outlineLvl w:val="0"/>
              <w:rPr>
                <w:i/>
              </w:rPr>
            </w:pPr>
            <w:r w:rsidRPr="000A6D89">
              <w:rPr>
                <w:i/>
              </w:rPr>
              <w:t>$299</w:t>
            </w:r>
          </w:p>
        </w:tc>
      </w:tr>
      <w:tr w:rsidR="00745022" w:rsidRPr="000A6D89" w14:paraId="2547FF54" w14:textId="77777777" w:rsidTr="000A6D89">
        <w:tc>
          <w:tcPr>
            <w:tcW w:w="1063" w:type="dxa"/>
          </w:tcPr>
          <w:p w14:paraId="1F9121A0" w14:textId="77777777" w:rsidR="00745022" w:rsidRPr="000A6D89" w:rsidRDefault="00745022" w:rsidP="000A6D89">
            <w:pPr>
              <w:outlineLvl w:val="0"/>
              <w:rPr>
                <w:i/>
              </w:rPr>
            </w:pPr>
            <w:r w:rsidRPr="000A6D89">
              <w:rPr>
                <w:i/>
              </w:rPr>
              <w:t>Yearly Total</w:t>
            </w:r>
          </w:p>
        </w:tc>
        <w:tc>
          <w:tcPr>
            <w:tcW w:w="1771" w:type="dxa"/>
          </w:tcPr>
          <w:p w14:paraId="1DC3C01C" w14:textId="77777777" w:rsidR="00745022" w:rsidRPr="000A6D89" w:rsidRDefault="00745022" w:rsidP="000A6D89">
            <w:pPr>
              <w:jc w:val="center"/>
              <w:outlineLvl w:val="0"/>
              <w:rPr>
                <w:i/>
              </w:rPr>
            </w:pPr>
          </w:p>
        </w:tc>
        <w:tc>
          <w:tcPr>
            <w:tcW w:w="1771" w:type="dxa"/>
          </w:tcPr>
          <w:p w14:paraId="79ADA27F" w14:textId="77777777" w:rsidR="00745022" w:rsidRPr="000A6D89" w:rsidRDefault="00745022" w:rsidP="000A6D89">
            <w:pPr>
              <w:jc w:val="center"/>
              <w:outlineLvl w:val="0"/>
              <w:rPr>
                <w:i/>
              </w:rPr>
            </w:pPr>
            <w:r w:rsidRPr="000A6D89">
              <w:rPr>
                <w:i/>
              </w:rPr>
              <w:t>$700</w:t>
            </w:r>
          </w:p>
        </w:tc>
        <w:tc>
          <w:tcPr>
            <w:tcW w:w="1771" w:type="dxa"/>
          </w:tcPr>
          <w:p w14:paraId="153FE869" w14:textId="77777777" w:rsidR="00745022" w:rsidRPr="000A6D89" w:rsidRDefault="00745022" w:rsidP="000A6D89">
            <w:pPr>
              <w:jc w:val="center"/>
              <w:outlineLvl w:val="0"/>
              <w:rPr>
                <w:i/>
              </w:rPr>
            </w:pPr>
            <w:r w:rsidRPr="000A6D89">
              <w:rPr>
                <w:i/>
              </w:rPr>
              <w:t>$</w:t>
            </w:r>
            <w:r>
              <w:rPr>
                <w:i/>
              </w:rPr>
              <w:t>101</w:t>
            </w:r>
          </w:p>
        </w:tc>
        <w:tc>
          <w:tcPr>
            <w:tcW w:w="1772" w:type="dxa"/>
          </w:tcPr>
          <w:p w14:paraId="4FC3CACD" w14:textId="77777777" w:rsidR="00745022" w:rsidRPr="000A6D89" w:rsidRDefault="00745022" w:rsidP="000A6D89">
            <w:pPr>
              <w:jc w:val="center"/>
              <w:outlineLvl w:val="0"/>
              <w:rPr>
                <w:i/>
              </w:rPr>
            </w:pPr>
            <w:r w:rsidRPr="000A6D89">
              <w:rPr>
                <w:i/>
              </w:rPr>
              <w:t>$599</w:t>
            </w:r>
          </w:p>
        </w:tc>
      </w:tr>
    </w:tbl>
    <w:p w14:paraId="561AFFB9" w14:textId="77777777" w:rsidR="00745022" w:rsidRDefault="00745022" w:rsidP="007373FE">
      <w:pPr>
        <w:ind w:left="600" w:hanging="240"/>
        <w:outlineLvl w:val="0"/>
      </w:pPr>
    </w:p>
    <w:p w14:paraId="64D13D9D" w14:textId="77777777" w:rsidR="00745022" w:rsidRDefault="00745022" w:rsidP="007373FE">
      <w:pPr>
        <w:ind w:left="600" w:hanging="240"/>
        <w:outlineLvl w:val="0"/>
      </w:pPr>
      <w:r>
        <w:tab/>
      </w:r>
    </w:p>
    <w:p w14:paraId="4A358EF8" w14:textId="77777777" w:rsidR="00745022" w:rsidRDefault="00745022" w:rsidP="009F0CBE">
      <w:pPr>
        <w:numPr>
          <w:ilvl w:val="1"/>
          <w:numId w:val="1"/>
        </w:numPr>
        <w:outlineLvl w:val="0"/>
        <w:rPr>
          <w:i/>
        </w:rPr>
      </w:pPr>
      <w:r w:rsidRPr="006B22F3">
        <w:rPr>
          <w:i/>
        </w:rPr>
        <w:t>If David does not elect to amortize the bond, he will simply report the entire $700 payment he receives as interest income for the year.</w:t>
      </w:r>
    </w:p>
    <w:p w14:paraId="03BA9F42" w14:textId="77777777" w:rsidR="00745022" w:rsidRDefault="00745022" w:rsidP="00E87976">
      <w:pPr>
        <w:ind w:left="360"/>
        <w:outlineLvl w:val="0"/>
      </w:pPr>
    </w:p>
    <w:p w14:paraId="297C4E51" w14:textId="4CB93078" w:rsidR="00745022" w:rsidRDefault="00745022" w:rsidP="00C04668">
      <w:pPr>
        <w:numPr>
          <w:ilvl w:val="0"/>
          <w:numId w:val="1"/>
        </w:numPr>
        <w:outlineLvl w:val="0"/>
      </w:pPr>
      <w:r w:rsidRPr="006B22F3">
        <w:t>[LO 1] Seth</w:t>
      </w:r>
      <w:r>
        <w:t xml:space="preserve"> invested $20,000 in Series EE savings bonds on April 1</w:t>
      </w:r>
      <w:r w:rsidR="000C1A4C">
        <w:t xml:space="preserve">. </w:t>
      </w:r>
      <w:r>
        <w:t xml:space="preserve">By December 31, the published redemption value of the bonds had increased to $20,700. How much interest income will Seth report from the savings bonds in the current year absent any special election? </w:t>
      </w:r>
    </w:p>
    <w:p w14:paraId="20D53AC4" w14:textId="77777777" w:rsidR="00745022" w:rsidRDefault="00745022" w:rsidP="006B22F3">
      <w:pPr>
        <w:ind w:left="360"/>
        <w:outlineLvl w:val="0"/>
      </w:pPr>
    </w:p>
    <w:p w14:paraId="2F3C33AA" w14:textId="77777777" w:rsidR="00745022" w:rsidRPr="00C91580" w:rsidRDefault="00745022" w:rsidP="00C91580">
      <w:pPr>
        <w:ind w:left="360"/>
        <w:outlineLvl w:val="0"/>
        <w:rPr>
          <w:i/>
        </w:rPr>
      </w:pPr>
      <w:r w:rsidRPr="00C91580">
        <w:rPr>
          <w:i/>
        </w:rPr>
        <w:t>Seth will not report any interest income from the EE savings bonds currently unless he elects to have the increase in redemption value taxed currently.</w:t>
      </w:r>
    </w:p>
    <w:p w14:paraId="3396DF05" w14:textId="77777777" w:rsidR="00745022" w:rsidRDefault="00745022" w:rsidP="00C04668">
      <w:pPr>
        <w:outlineLvl w:val="0"/>
      </w:pPr>
    </w:p>
    <w:p w14:paraId="3DF689A0" w14:textId="77854CD9" w:rsidR="00745022" w:rsidRDefault="00745022" w:rsidP="00C04668">
      <w:pPr>
        <w:numPr>
          <w:ilvl w:val="0"/>
          <w:numId w:val="1"/>
        </w:numPr>
        <w:outlineLvl w:val="0"/>
      </w:pPr>
      <w:r>
        <w:t xml:space="preserve"> </w:t>
      </w:r>
      <w:r w:rsidRPr="003C03A6">
        <w:t>[LO 1] At the</w:t>
      </w:r>
      <w:r>
        <w:t xml:space="preserve"> beginning of her current tax year, Angela purchased a zero-coupon corporate bond at original issue for $30,000 with a yield to maturity of 6 percent</w:t>
      </w:r>
      <w:r w:rsidR="000C1A4C">
        <w:t xml:space="preserve">. </w:t>
      </w:r>
      <w:r>
        <w:t xml:space="preserve">Given that she will not actually receive any interest payments until the bond matures in 10 years, how much interest income will she report this year assuming </w:t>
      </w:r>
      <w:r w:rsidR="009F0CBE">
        <w:t>semi</w:t>
      </w:r>
      <w:r>
        <w:t>annual compounding of interest?</w:t>
      </w:r>
    </w:p>
    <w:p w14:paraId="360A8B8E" w14:textId="77777777" w:rsidR="00745022" w:rsidRDefault="00745022" w:rsidP="00C91580">
      <w:pPr>
        <w:outlineLvl w:val="0"/>
      </w:pPr>
    </w:p>
    <w:p w14:paraId="4D98848D" w14:textId="77777777" w:rsidR="00403E60" w:rsidRDefault="00403E60" w:rsidP="00C91580">
      <w:pPr>
        <w:ind w:left="360"/>
        <w:outlineLvl w:val="0"/>
        <w:rPr>
          <w:i/>
        </w:rPr>
      </w:pPr>
      <w:r>
        <w:rPr>
          <w:i/>
        </w:rPr>
        <w:t>Angela would recognize $1,827 of interest income from OID calculated as follows:</w:t>
      </w:r>
    </w:p>
    <w:p w14:paraId="6F21F760" w14:textId="77777777" w:rsidR="00403E60" w:rsidRDefault="00403E60" w:rsidP="00C91580">
      <w:pPr>
        <w:ind w:left="360"/>
        <w:outlineLvl w:val="0"/>
        <w:rPr>
          <w:i/>
        </w:rPr>
      </w:pPr>
    </w:p>
    <w:p w14:paraId="051C1C22" w14:textId="77777777" w:rsidR="00403E60" w:rsidRDefault="00403E60" w:rsidP="00C91580">
      <w:pPr>
        <w:ind w:left="360"/>
        <w:outlineLvl w:val="0"/>
        <w:rPr>
          <w:i/>
        </w:rPr>
      </w:pPr>
      <w:r>
        <w:rPr>
          <w:i/>
        </w:rPr>
        <w:t xml:space="preserve">$30,000 x .06 </w:t>
      </w:r>
      <w:r w:rsidR="00AB5497">
        <w:rPr>
          <w:i/>
        </w:rPr>
        <w:t xml:space="preserve">× </w:t>
      </w:r>
      <w:r>
        <w:rPr>
          <w:i/>
        </w:rPr>
        <w:t xml:space="preserve">½ = </w:t>
      </w:r>
      <w:r>
        <w:rPr>
          <w:i/>
        </w:rPr>
        <w:tab/>
        <w:t>$900</w:t>
      </w:r>
    </w:p>
    <w:p w14:paraId="226FFA61" w14:textId="77777777" w:rsidR="00403E60" w:rsidRDefault="00403E60" w:rsidP="00C91580">
      <w:pPr>
        <w:ind w:left="360"/>
        <w:outlineLvl w:val="0"/>
        <w:rPr>
          <w:i/>
        </w:rPr>
      </w:pPr>
      <w:r>
        <w:rPr>
          <w:i/>
        </w:rPr>
        <w:t xml:space="preserve">$30,900 x .06 </w:t>
      </w:r>
      <w:r w:rsidR="00AB5497">
        <w:rPr>
          <w:i/>
        </w:rPr>
        <w:t xml:space="preserve">× </w:t>
      </w:r>
      <w:r>
        <w:rPr>
          <w:i/>
        </w:rPr>
        <w:t xml:space="preserve">½ = </w:t>
      </w:r>
      <w:r>
        <w:rPr>
          <w:i/>
        </w:rPr>
        <w:tab/>
      </w:r>
      <w:r w:rsidRPr="00403E60">
        <w:rPr>
          <w:i/>
          <w:u w:val="single"/>
        </w:rPr>
        <w:t xml:space="preserve">  927</w:t>
      </w:r>
    </w:p>
    <w:p w14:paraId="3CE50D4A" w14:textId="77777777" w:rsidR="00403E60" w:rsidRDefault="00403E60" w:rsidP="00403E60">
      <w:pPr>
        <w:tabs>
          <w:tab w:val="left" w:pos="2610"/>
        </w:tabs>
        <w:ind w:left="360"/>
        <w:outlineLvl w:val="0"/>
        <w:rPr>
          <w:i/>
        </w:rPr>
      </w:pPr>
      <w:r>
        <w:rPr>
          <w:i/>
        </w:rPr>
        <w:t>Total</w:t>
      </w:r>
      <w:r>
        <w:rPr>
          <w:i/>
        </w:rPr>
        <w:tab/>
        <w:t>$1,827</w:t>
      </w:r>
    </w:p>
    <w:p w14:paraId="3A3BB69C" w14:textId="77777777" w:rsidR="00745022" w:rsidRDefault="00745022" w:rsidP="00C04668">
      <w:pPr>
        <w:outlineLvl w:val="0"/>
      </w:pPr>
    </w:p>
    <w:p w14:paraId="1FD959A3" w14:textId="77777777" w:rsidR="00745022" w:rsidRDefault="00745022" w:rsidP="00C04668">
      <w:pPr>
        <w:numPr>
          <w:ilvl w:val="0"/>
          <w:numId w:val="1"/>
        </w:numPr>
        <w:outlineLvl w:val="0"/>
      </w:pPr>
      <w:r>
        <w:t>[</w:t>
      </w:r>
      <w:r w:rsidRPr="003C03A6">
        <w:t xml:space="preserve">LO 1] </w:t>
      </w:r>
      <w:r>
        <w:t xml:space="preserve">At the beginning of his current tax year, Eric bought a corporate bond with a maturity value of $50,000 from the secondary market for $45,000. The bond has a stated annual interest rate of 5 percent payable on June 30 and December 31, and it matures in five years on December 31. Absent any special tax elections, how much interest income will Eric report from the bond this year and in the year the bond matures? </w:t>
      </w:r>
    </w:p>
    <w:p w14:paraId="70508952" w14:textId="77777777" w:rsidR="00745022" w:rsidRDefault="00745022" w:rsidP="006B459C">
      <w:pPr>
        <w:outlineLvl w:val="0"/>
      </w:pPr>
    </w:p>
    <w:p w14:paraId="5CB0F716" w14:textId="4604F0C8" w:rsidR="00745022" w:rsidRPr="006B459C" w:rsidRDefault="00745022" w:rsidP="006B459C">
      <w:pPr>
        <w:ind w:left="360"/>
        <w:outlineLvl w:val="0"/>
        <w:rPr>
          <w:i/>
        </w:rPr>
      </w:pPr>
      <w:r w:rsidRPr="006B459C">
        <w:rPr>
          <w:i/>
        </w:rPr>
        <w:t>Accrued market discount on bonds is reported as interest income when the bond</w:t>
      </w:r>
      <w:r>
        <w:rPr>
          <w:i/>
        </w:rPr>
        <w:t>s are sold or mature</w:t>
      </w:r>
      <w:r w:rsidR="000C1A4C">
        <w:rPr>
          <w:i/>
        </w:rPr>
        <w:t xml:space="preserve">. </w:t>
      </w:r>
      <w:r w:rsidRPr="006B459C">
        <w:rPr>
          <w:i/>
        </w:rPr>
        <w:t xml:space="preserve">Therefore, Eric will </w:t>
      </w:r>
      <w:r>
        <w:rPr>
          <w:i/>
        </w:rPr>
        <w:t xml:space="preserve">only report the interest he actually receives or $2,500 [($50,000 </w:t>
      </w:r>
      <w:r w:rsidR="00AB5497">
        <w:rPr>
          <w:i/>
        </w:rPr>
        <w:t xml:space="preserve">× </w:t>
      </w:r>
      <w:r w:rsidRPr="006B459C">
        <w:rPr>
          <w:i/>
        </w:rPr>
        <w:t>.</w:t>
      </w:r>
      <w:r>
        <w:rPr>
          <w:i/>
        </w:rPr>
        <w:t>025) x 2]</w:t>
      </w:r>
      <w:r w:rsidR="000C1A4C">
        <w:rPr>
          <w:i/>
        </w:rPr>
        <w:t xml:space="preserve">. </w:t>
      </w:r>
      <w:r w:rsidRPr="006B459C">
        <w:rPr>
          <w:i/>
        </w:rPr>
        <w:t xml:space="preserve"> </w:t>
      </w:r>
      <w:r>
        <w:rPr>
          <w:i/>
        </w:rPr>
        <w:t>In the year the bond matures</w:t>
      </w:r>
      <w:r w:rsidRPr="006B459C">
        <w:rPr>
          <w:i/>
        </w:rPr>
        <w:t xml:space="preserve">, he will </w:t>
      </w:r>
      <w:r>
        <w:rPr>
          <w:i/>
        </w:rPr>
        <w:t xml:space="preserve">again </w:t>
      </w:r>
      <w:r w:rsidRPr="006B459C">
        <w:rPr>
          <w:i/>
        </w:rPr>
        <w:t>report $</w:t>
      </w:r>
      <w:r>
        <w:rPr>
          <w:i/>
        </w:rPr>
        <w:t>2</w:t>
      </w:r>
      <w:r w:rsidRPr="006B459C">
        <w:rPr>
          <w:i/>
        </w:rPr>
        <w:t>,</w:t>
      </w:r>
      <w:r>
        <w:rPr>
          <w:i/>
        </w:rPr>
        <w:t>5</w:t>
      </w:r>
      <w:r w:rsidRPr="006B459C">
        <w:rPr>
          <w:i/>
        </w:rPr>
        <w:t>00 of interest income</w:t>
      </w:r>
      <w:r>
        <w:rPr>
          <w:i/>
        </w:rPr>
        <w:t xml:space="preserve"> related to the semiannual interest payments received and an additional $5,000 of interest income related to the market discount on the bonds</w:t>
      </w:r>
      <w:r w:rsidR="000C1A4C">
        <w:rPr>
          <w:i/>
        </w:rPr>
        <w:t xml:space="preserve">. </w:t>
      </w:r>
    </w:p>
    <w:p w14:paraId="0C040134" w14:textId="77777777" w:rsidR="00745022" w:rsidRDefault="00745022" w:rsidP="00C04668">
      <w:pPr>
        <w:ind w:left="480" w:hanging="435"/>
        <w:outlineLvl w:val="0"/>
      </w:pPr>
    </w:p>
    <w:p w14:paraId="10AEE52F" w14:textId="25208D74" w:rsidR="00745022" w:rsidRPr="002042D0" w:rsidRDefault="00745022" w:rsidP="00C04668">
      <w:pPr>
        <w:numPr>
          <w:ilvl w:val="0"/>
          <w:numId w:val="1"/>
        </w:numPr>
        <w:outlineLvl w:val="0"/>
      </w:pPr>
      <w:r w:rsidRPr="002042D0">
        <w:t>[LO 1] Hayley recently invested $50,000 in a public utility stock paying a 3 percent annual dividend</w:t>
      </w:r>
      <w:r w:rsidR="000C1A4C">
        <w:t xml:space="preserve">. </w:t>
      </w:r>
      <w:r w:rsidRPr="002042D0">
        <w:t xml:space="preserve">If Hayley reinvests the annual dividend she receives net of any taxes owed on the dividend, how much will her investment be worth in four years if the dividends paid are qualified dividends? (Hayley’s marginal income tax rate is </w:t>
      </w:r>
      <w:r w:rsidR="00C74DC7">
        <w:t>32</w:t>
      </w:r>
      <w:r w:rsidR="00C74DC7" w:rsidRPr="002042D0">
        <w:t xml:space="preserve"> </w:t>
      </w:r>
      <w:r w:rsidRPr="002042D0">
        <w:t>percent</w:t>
      </w:r>
      <w:r w:rsidR="00BD3CD2">
        <w:t xml:space="preserve"> and preferential tax rate is 15 percent</w:t>
      </w:r>
      <w:r w:rsidRPr="002042D0">
        <w:t>.) What will her investment be worth in four years if the dividends are nonqualified?</w:t>
      </w:r>
    </w:p>
    <w:p w14:paraId="209B05E1" w14:textId="77777777" w:rsidR="00745022" w:rsidRPr="002042D0" w:rsidRDefault="00745022" w:rsidP="005B677D">
      <w:pPr>
        <w:outlineLvl w:val="0"/>
      </w:pPr>
    </w:p>
    <w:p w14:paraId="763D5F5A" w14:textId="2657C8A6" w:rsidR="00745022" w:rsidRPr="005B677D" w:rsidRDefault="00745022" w:rsidP="005B677D">
      <w:pPr>
        <w:ind w:left="360"/>
        <w:outlineLvl w:val="0"/>
        <w:rPr>
          <w:i/>
        </w:rPr>
      </w:pPr>
      <w:r w:rsidRPr="005B677D">
        <w:rPr>
          <w:i/>
        </w:rPr>
        <w:t xml:space="preserve">If Hayley receives </w:t>
      </w:r>
      <w:r>
        <w:rPr>
          <w:i/>
        </w:rPr>
        <w:t>qualified</w:t>
      </w:r>
      <w:r w:rsidRPr="005B677D">
        <w:rPr>
          <w:i/>
        </w:rPr>
        <w:t xml:space="preserve"> dividends, her annual after-tax rate of return will be 2.55</w:t>
      </w:r>
      <w:r w:rsidR="00A041E9">
        <w:rPr>
          <w:i/>
        </w:rPr>
        <w:t xml:space="preserve"> percent</w:t>
      </w:r>
      <w:r w:rsidR="00A041E9" w:rsidRPr="005B677D">
        <w:rPr>
          <w:i/>
        </w:rPr>
        <w:t xml:space="preserve"> </w:t>
      </w:r>
      <w:r w:rsidRPr="005B677D">
        <w:rPr>
          <w:i/>
        </w:rPr>
        <w:t xml:space="preserve">or 3% </w:t>
      </w:r>
      <w:r w:rsidR="00AB5497">
        <w:rPr>
          <w:i/>
        </w:rPr>
        <w:t>×</w:t>
      </w:r>
      <w:r w:rsidR="00AB5497" w:rsidRPr="005B677D">
        <w:rPr>
          <w:i/>
        </w:rPr>
        <w:t xml:space="preserve"> </w:t>
      </w:r>
      <w:r w:rsidRPr="005B677D">
        <w:rPr>
          <w:i/>
        </w:rPr>
        <w:t>(1-.15)</w:t>
      </w:r>
      <w:r w:rsidR="000C1A4C">
        <w:rPr>
          <w:i/>
        </w:rPr>
        <w:t xml:space="preserve">. </w:t>
      </w:r>
      <w:r w:rsidRPr="005B677D">
        <w:rPr>
          <w:i/>
        </w:rPr>
        <w:t xml:space="preserve">On the other hand, if the dividends are </w:t>
      </w:r>
      <w:r>
        <w:rPr>
          <w:i/>
        </w:rPr>
        <w:t>nonqualified</w:t>
      </w:r>
      <w:r w:rsidRPr="005B677D">
        <w:rPr>
          <w:i/>
        </w:rPr>
        <w:t xml:space="preserve"> her annual after-tax rate of return will be 2.</w:t>
      </w:r>
      <w:r w:rsidR="00C74DC7">
        <w:rPr>
          <w:i/>
        </w:rPr>
        <w:t>04</w:t>
      </w:r>
      <w:r w:rsidR="00C74DC7" w:rsidRPr="00A041E9">
        <w:rPr>
          <w:i/>
        </w:rPr>
        <w:t xml:space="preserve"> </w:t>
      </w:r>
      <w:r w:rsidR="00A041E9">
        <w:rPr>
          <w:i/>
        </w:rPr>
        <w:t>percent</w:t>
      </w:r>
      <w:r w:rsidRPr="005B677D">
        <w:rPr>
          <w:i/>
        </w:rPr>
        <w:t xml:space="preserve"> or 3% </w:t>
      </w:r>
      <w:r w:rsidR="00AB5497">
        <w:rPr>
          <w:i/>
        </w:rPr>
        <w:t>×</w:t>
      </w:r>
      <w:r w:rsidR="00AB5497" w:rsidRPr="005B677D">
        <w:rPr>
          <w:i/>
        </w:rPr>
        <w:t xml:space="preserve"> </w:t>
      </w:r>
      <w:r w:rsidRPr="005B677D">
        <w:rPr>
          <w:i/>
        </w:rPr>
        <w:t>(1-.</w:t>
      </w:r>
      <w:r w:rsidR="00C74DC7">
        <w:rPr>
          <w:i/>
        </w:rPr>
        <w:t>32</w:t>
      </w:r>
      <w:r w:rsidRPr="005B677D">
        <w:rPr>
          <w:i/>
        </w:rPr>
        <w:t>)</w:t>
      </w:r>
      <w:r w:rsidR="000C1A4C">
        <w:rPr>
          <w:i/>
        </w:rPr>
        <w:t xml:space="preserve">. </w:t>
      </w:r>
      <w:r w:rsidRPr="005B677D">
        <w:rPr>
          <w:i/>
        </w:rPr>
        <w:t xml:space="preserve">As a result, her investment will be worth $55,298 or 50,000 x </w:t>
      </w:r>
      <w:r w:rsidRPr="00E87976">
        <w:rPr>
          <w:i/>
        </w:rPr>
        <w:t>(1+.0255)</w:t>
      </w:r>
      <w:r w:rsidRPr="00E87976">
        <w:rPr>
          <w:i/>
          <w:vertAlign w:val="superscript"/>
        </w:rPr>
        <w:t>4</w:t>
      </w:r>
      <w:r w:rsidRPr="005B677D">
        <w:rPr>
          <w:i/>
        </w:rPr>
        <w:t xml:space="preserve"> if the dividends are </w:t>
      </w:r>
      <w:r>
        <w:rPr>
          <w:i/>
        </w:rPr>
        <w:t>qualified</w:t>
      </w:r>
      <w:r w:rsidR="000C1A4C">
        <w:rPr>
          <w:i/>
        </w:rPr>
        <w:t xml:space="preserve">. </w:t>
      </w:r>
      <w:r w:rsidRPr="005B677D">
        <w:rPr>
          <w:i/>
        </w:rPr>
        <w:t>Otherwise, her investment will be worth $54,</w:t>
      </w:r>
      <w:r w:rsidR="00F741FA">
        <w:rPr>
          <w:i/>
        </w:rPr>
        <w:t>207</w:t>
      </w:r>
      <w:r w:rsidR="00F741FA" w:rsidRPr="005B677D">
        <w:rPr>
          <w:i/>
        </w:rPr>
        <w:t xml:space="preserve"> </w:t>
      </w:r>
      <w:r w:rsidRPr="005B677D">
        <w:rPr>
          <w:i/>
        </w:rPr>
        <w:t xml:space="preserve">or </w:t>
      </w:r>
      <w:r w:rsidR="007F06DF">
        <w:rPr>
          <w:i/>
        </w:rPr>
        <w:t>$</w:t>
      </w:r>
      <w:r w:rsidRPr="005B677D">
        <w:rPr>
          <w:i/>
        </w:rPr>
        <w:t xml:space="preserve">50,000 </w:t>
      </w:r>
      <w:r w:rsidR="00AB5497">
        <w:rPr>
          <w:i/>
        </w:rPr>
        <w:t>×</w:t>
      </w:r>
      <w:r w:rsidR="00AB5497" w:rsidRPr="005B677D">
        <w:rPr>
          <w:i/>
        </w:rPr>
        <w:t xml:space="preserve"> </w:t>
      </w:r>
      <w:r w:rsidRPr="005B677D">
        <w:rPr>
          <w:i/>
        </w:rPr>
        <w:t>(1+.</w:t>
      </w:r>
      <w:r w:rsidR="00C74DC7" w:rsidRPr="005B677D">
        <w:rPr>
          <w:i/>
        </w:rPr>
        <w:t>02</w:t>
      </w:r>
      <w:r w:rsidR="00C74DC7">
        <w:rPr>
          <w:i/>
        </w:rPr>
        <w:t>04</w:t>
      </w:r>
      <w:r w:rsidRPr="005B677D">
        <w:rPr>
          <w:i/>
        </w:rPr>
        <w:t>)</w:t>
      </w:r>
      <w:r w:rsidRPr="005B677D">
        <w:rPr>
          <w:i/>
          <w:vertAlign w:val="superscript"/>
        </w:rPr>
        <w:t>4</w:t>
      </w:r>
      <w:r w:rsidRPr="005B677D">
        <w:rPr>
          <w:i/>
        </w:rPr>
        <w:t>.</w:t>
      </w:r>
    </w:p>
    <w:p w14:paraId="2B7FFF00" w14:textId="77777777" w:rsidR="00745022" w:rsidRDefault="00745022" w:rsidP="005B677D">
      <w:pPr>
        <w:outlineLvl w:val="0"/>
      </w:pPr>
    </w:p>
    <w:p w14:paraId="68666DDA" w14:textId="77777777" w:rsidR="00745022" w:rsidRDefault="00745022" w:rsidP="00C04668">
      <w:pPr>
        <w:outlineLvl w:val="0"/>
      </w:pPr>
    </w:p>
    <w:p w14:paraId="3C912FA5" w14:textId="10B94AFE" w:rsidR="00745022" w:rsidRPr="002042D0" w:rsidRDefault="00745022" w:rsidP="000B44A1">
      <w:pPr>
        <w:numPr>
          <w:ilvl w:val="0"/>
          <w:numId w:val="1"/>
        </w:numPr>
        <w:outlineLvl w:val="0"/>
      </w:pPr>
      <w:r w:rsidRPr="002042D0">
        <w:t xml:space="preserve"> [LO1] {Planning} Five years ago, Kate purchased a dividend-paying stock for $10,000. For all five years, the stock paid an annual dividend of 4 percent before tax and Kate’s marginal tax rate was </w:t>
      </w:r>
      <w:r w:rsidR="00F741FA">
        <w:t>24</w:t>
      </w:r>
      <w:r w:rsidR="00F741FA" w:rsidRPr="002042D0">
        <w:t xml:space="preserve"> </w:t>
      </w:r>
      <w:r w:rsidRPr="002042D0">
        <w:t xml:space="preserve">percent. Every year Kate reinvested her after-tax dividends in the same stock. For the first two years of her investment, the dividends qualified for the 15 percent capital gains rate; however, for the last three years the 15 percent dividend rate was repealed and dividends were taxed at ordinary rates. </w:t>
      </w:r>
    </w:p>
    <w:p w14:paraId="28DD928D" w14:textId="77777777" w:rsidR="00745022" w:rsidRPr="002042D0" w:rsidRDefault="00745022" w:rsidP="007E7808">
      <w:pPr>
        <w:outlineLvl w:val="0"/>
      </w:pPr>
    </w:p>
    <w:p w14:paraId="574BFB3F" w14:textId="77777777" w:rsidR="00745022" w:rsidRPr="002042D0" w:rsidRDefault="00745022" w:rsidP="00492E3C">
      <w:pPr>
        <w:ind w:left="630" w:hanging="270"/>
        <w:outlineLvl w:val="0"/>
      </w:pPr>
      <w:r w:rsidRPr="002042D0">
        <w:t>a. What is the current value (at the beginning of year 6) of Kate’s investment assuming the stock has not appreciated in value?</w:t>
      </w:r>
    </w:p>
    <w:p w14:paraId="18F2796E" w14:textId="720B6A92" w:rsidR="00492E3C" w:rsidRPr="002042D0" w:rsidRDefault="00492E3C" w:rsidP="00492E3C">
      <w:pPr>
        <w:ind w:left="720" w:hanging="360"/>
        <w:outlineLvl w:val="0"/>
      </w:pPr>
      <w:r w:rsidRPr="002042D0">
        <w:t>b. What will Kate’s investment be worth three years from now (at the beginning of year 9) assuming her marginal tax rate increases to 35 percent for the next three years?</w:t>
      </w:r>
    </w:p>
    <w:p w14:paraId="292926C3" w14:textId="77777777" w:rsidR="00745022" w:rsidRPr="002042D0" w:rsidRDefault="00745022" w:rsidP="00C04668">
      <w:pPr>
        <w:ind w:left="360"/>
        <w:outlineLvl w:val="0"/>
      </w:pPr>
    </w:p>
    <w:p w14:paraId="2AC0CA5A" w14:textId="77777777" w:rsidR="00745022" w:rsidRPr="008D536E" w:rsidRDefault="00745022" w:rsidP="00492E3C">
      <w:pPr>
        <w:numPr>
          <w:ilvl w:val="1"/>
          <w:numId w:val="1"/>
        </w:numPr>
        <w:outlineLvl w:val="0"/>
        <w:rPr>
          <w:i/>
        </w:rPr>
      </w:pPr>
      <w:r w:rsidRPr="008D536E">
        <w:rPr>
          <w:i/>
        </w:rPr>
        <w:t>The following formula takes into account the change in dividend tax rates in the last three years of Kate’s investment:</w:t>
      </w:r>
    </w:p>
    <w:p w14:paraId="411FAB6C" w14:textId="77777777" w:rsidR="00745022" w:rsidRPr="008D536E" w:rsidRDefault="00745022" w:rsidP="00C04668">
      <w:pPr>
        <w:ind w:left="360"/>
        <w:outlineLvl w:val="0"/>
        <w:rPr>
          <w:i/>
        </w:rPr>
      </w:pPr>
    </w:p>
    <w:p w14:paraId="77002812" w14:textId="2C751CB6" w:rsidR="00745022" w:rsidRPr="008D536E" w:rsidRDefault="00745022" w:rsidP="00492E3C">
      <w:pPr>
        <w:ind w:firstLine="720"/>
        <w:jc w:val="center"/>
        <w:rPr>
          <w:i/>
        </w:rPr>
      </w:pPr>
      <w:r w:rsidRPr="008D536E">
        <w:rPr>
          <w:i/>
        </w:rPr>
        <w:t>$10,000</w:t>
      </w:r>
      <w:r>
        <w:rPr>
          <w:i/>
        </w:rPr>
        <w:t xml:space="preserve"> × </w:t>
      </w:r>
      <w:r w:rsidRPr="008D536E">
        <w:rPr>
          <w:i/>
        </w:rPr>
        <w:t>(1+</w:t>
      </w:r>
      <w:r>
        <w:rPr>
          <w:i/>
        </w:rPr>
        <w:t xml:space="preserve"> (</w:t>
      </w:r>
      <w:r w:rsidRPr="008D536E">
        <w:rPr>
          <w:i/>
        </w:rPr>
        <w:t>.04</w:t>
      </w:r>
      <w:r>
        <w:rPr>
          <w:i/>
        </w:rPr>
        <w:t xml:space="preserve"> × </w:t>
      </w:r>
      <w:r w:rsidRPr="008D536E">
        <w:rPr>
          <w:i/>
        </w:rPr>
        <w:t>(1-.15)</w:t>
      </w:r>
      <w:r>
        <w:rPr>
          <w:i/>
        </w:rPr>
        <w:t>)</w:t>
      </w:r>
      <w:r w:rsidRPr="008D536E">
        <w:rPr>
          <w:i/>
        </w:rPr>
        <w:t>)</w:t>
      </w:r>
      <w:r w:rsidRPr="008D536E">
        <w:rPr>
          <w:i/>
          <w:vertAlign w:val="superscript"/>
        </w:rPr>
        <w:t xml:space="preserve"> 2</w:t>
      </w:r>
      <w:r>
        <w:rPr>
          <w:i/>
          <w:vertAlign w:val="superscript"/>
        </w:rPr>
        <w:t xml:space="preserve"> </w:t>
      </w:r>
      <w:r>
        <w:rPr>
          <w:i/>
        </w:rPr>
        <w:t xml:space="preserve">× </w:t>
      </w:r>
      <w:r w:rsidRPr="008D536E">
        <w:rPr>
          <w:i/>
        </w:rPr>
        <w:t>(1+</w:t>
      </w:r>
      <w:r>
        <w:rPr>
          <w:i/>
        </w:rPr>
        <w:t xml:space="preserve"> (</w:t>
      </w:r>
      <w:r w:rsidRPr="008D536E">
        <w:rPr>
          <w:i/>
        </w:rPr>
        <w:t>.04</w:t>
      </w:r>
      <w:r>
        <w:rPr>
          <w:i/>
        </w:rPr>
        <w:t xml:space="preserve"> ×</w:t>
      </w:r>
      <w:r w:rsidRPr="008D536E">
        <w:rPr>
          <w:i/>
        </w:rPr>
        <w:t xml:space="preserve"> (1-.2</w:t>
      </w:r>
      <w:r w:rsidR="00F741FA">
        <w:rPr>
          <w:i/>
        </w:rPr>
        <w:t>4</w:t>
      </w:r>
      <w:r w:rsidRPr="008D536E">
        <w:rPr>
          <w:i/>
        </w:rPr>
        <w:t>)</w:t>
      </w:r>
      <w:r>
        <w:rPr>
          <w:i/>
        </w:rPr>
        <w:t>)</w:t>
      </w:r>
      <w:r w:rsidRPr="008D536E">
        <w:rPr>
          <w:i/>
        </w:rPr>
        <w:t>)</w:t>
      </w:r>
      <w:r w:rsidRPr="008D536E">
        <w:rPr>
          <w:i/>
          <w:vertAlign w:val="superscript"/>
        </w:rPr>
        <w:t xml:space="preserve"> 3</w:t>
      </w:r>
      <w:r w:rsidRPr="008D536E">
        <w:rPr>
          <w:i/>
        </w:rPr>
        <w:t xml:space="preserve"> = $11,</w:t>
      </w:r>
      <w:r w:rsidR="00F741FA" w:rsidRPr="008D536E">
        <w:rPr>
          <w:i/>
        </w:rPr>
        <w:t>6</w:t>
      </w:r>
      <w:r w:rsidR="00F741FA">
        <w:rPr>
          <w:i/>
        </w:rPr>
        <w:t>97</w:t>
      </w:r>
    </w:p>
    <w:p w14:paraId="5C0E3293" w14:textId="77777777" w:rsidR="00745022" w:rsidRPr="00EF3B59" w:rsidRDefault="00745022" w:rsidP="00C04668">
      <w:pPr>
        <w:ind w:left="360"/>
        <w:outlineLvl w:val="0"/>
      </w:pPr>
    </w:p>
    <w:p w14:paraId="27B70AF2" w14:textId="2D265CE3" w:rsidR="00745022" w:rsidRPr="008D536E" w:rsidRDefault="00745022" w:rsidP="00492E3C">
      <w:pPr>
        <w:numPr>
          <w:ilvl w:val="1"/>
          <w:numId w:val="1"/>
        </w:numPr>
        <w:outlineLvl w:val="0"/>
        <w:rPr>
          <w:i/>
        </w:rPr>
      </w:pPr>
      <w:r w:rsidRPr="008D536E">
        <w:rPr>
          <w:i/>
        </w:rPr>
        <w:t>$11,</w:t>
      </w:r>
      <w:r w:rsidR="00F741FA" w:rsidRPr="008D536E">
        <w:rPr>
          <w:i/>
        </w:rPr>
        <w:t>6</w:t>
      </w:r>
      <w:r w:rsidR="00F741FA">
        <w:rPr>
          <w:i/>
        </w:rPr>
        <w:t>97</w:t>
      </w:r>
      <w:r w:rsidR="00F741FA" w:rsidRPr="008D536E">
        <w:rPr>
          <w:i/>
        </w:rPr>
        <w:t xml:space="preserve"> </w:t>
      </w:r>
      <w:r>
        <w:rPr>
          <w:i/>
        </w:rPr>
        <w:t>×</w:t>
      </w:r>
      <w:r w:rsidRPr="008D536E">
        <w:rPr>
          <w:i/>
        </w:rPr>
        <w:t xml:space="preserve"> (1+</w:t>
      </w:r>
      <w:r>
        <w:rPr>
          <w:i/>
        </w:rPr>
        <w:t xml:space="preserve"> (</w:t>
      </w:r>
      <w:r w:rsidRPr="008D536E">
        <w:rPr>
          <w:i/>
        </w:rPr>
        <w:t>.04</w:t>
      </w:r>
      <w:r>
        <w:rPr>
          <w:i/>
        </w:rPr>
        <w:t xml:space="preserve"> × </w:t>
      </w:r>
      <w:r w:rsidRPr="008D536E">
        <w:rPr>
          <w:i/>
        </w:rPr>
        <w:t>(1-.35)</w:t>
      </w:r>
      <w:r>
        <w:rPr>
          <w:i/>
        </w:rPr>
        <w:t>)</w:t>
      </w:r>
      <w:r w:rsidRPr="008D536E">
        <w:rPr>
          <w:i/>
        </w:rPr>
        <w:t>)</w:t>
      </w:r>
      <w:r w:rsidRPr="008D536E">
        <w:rPr>
          <w:i/>
          <w:vertAlign w:val="superscript"/>
        </w:rPr>
        <w:t xml:space="preserve"> 3</w:t>
      </w:r>
      <w:r w:rsidRPr="008D536E">
        <w:rPr>
          <w:i/>
        </w:rPr>
        <w:t xml:space="preserve"> = $12,</w:t>
      </w:r>
      <w:r w:rsidR="00F741FA" w:rsidRPr="008D536E">
        <w:rPr>
          <w:i/>
        </w:rPr>
        <w:t>6</w:t>
      </w:r>
      <w:r w:rsidR="00F741FA">
        <w:rPr>
          <w:i/>
        </w:rPr>
        <w:t>33</w:t>
      </w:r>
    </w:p>
    <w:p w14:paraId="342B9BB7" w14:textId="77777777" w:rsidR="00745022" w:rsidRPr="008D536E" w:rsidRDefault="00745022" w:rsidP="008D536E">
      <w:pPr>
        <w:ind w:left="360"/>
        <w:outlineLvl w:val="0"/>
        <w:rPr>
          <w:i/>
        </w:rPr>
      </w:pPr>
    </w:p>
    <w:p w14:paraId="08017EFF" w14:textId="56D8BE21" w:rsidR="00745022" w:rsidRDefault="00745022" w:rsidP="00C04668">
      <w:pPr>
        <w:numPr>
          <w:ilvl w:val="0"/>
          <w:numId w:val="1"/>
        </w:numPr>
        <w:outlineLvl w:val="0"/>
      </w:pPr>
      <w:r>
        <w:t xml:space="preserve">[LO 2] John bought 1,000 shares of Intel stock on October 18, </w:t>
      </w:r>
      <w:r w:rsidR="00D4175E">
        <w:t>201</w:t>
      </w:r>
      <w:r w:rsidR="00C711D8">
        <w:t>4</w:t>
      </w:r>
      <w:r w:rsidR="00D4175E">
        <w:t xml:space="preserve"> </w:t>
      </w:r>
      <w:r>
        <w:t>for $30 per share plus a $750 commission he paid to his broker</w:t>
      </w:r>
      <w:r w:rsidR="000C1A4C">
        <w:t xml:space="preserve">. </w:t>
      </w:r>
      <w:r>
        <w:t xml:space="preserve">On December 12, </w:t>
      </w:r>
      <w:r w:rsidR="00BD3CD2">
        <w:t>2018</w:t>
      </w:r>
      <w:r>
        <w:t>, he sells the shares for $42.50 per share</w:t>
      </w:r>
      <w:r w:rsidR="000C1A4C">
        <w:t xml:space="preserve">. </w:t>
      </w:r>
      <w:r>
        <w:t xml:space="preserve">He also incurs a $1,000 fee for this transaction. </w:t>
      </w:r>
    </w:p>
    <w:p w14:paraId="3C71A300" w14:textId="77777777" w:rsidR="00745022" w:rsidRDefault="00745022" w:rsidP="000C334E">
      <w:pPr>
        <w:outlineLvl w:val="0"/>
      </w:pPr>
      <w:r>
        <w:t xml:space="preserve"> </w:t>
      </w:r>
    </w:p>
    <w:p w14:paraId="6E8710D6" w14:textId="77777777" w:rsidR="00745022" w:rsidRDefault="00745022" w:rsidP="00C04668">
      <w:pPr>
        <w:numPr>
          <w:ilvl w:val="1"/>
          <w:numId w:val="1"/>
        </w:numPr>
        <w:tabs>
          <w:tab w:val="clear" w:pos="1440"/>
        </w:tabs>
        <w:ind w:left="1080"/>
      </w:pPr>
      <w:r>
        <w:t>What is John’s adjusted basis in the 1,000 shares of Intel stock?</w:t>
      </w:r>
    </w:p>
    <w:p w14:paraId="4E9DD9C7" w14:textId="77777777" w:rsidR="00492E3C" w:rsidRDefault="00492E3C" w:rsidP="00492E3C">
      <w:pPr>
        <w:numPr>
          <w:ilvl w:val="1"/>
          <w:numId w:val="1"/>
        </w:numPr>
        <w:tabs>
          <w:tab w:val="clear" w:pos="1440"/>
        </w:tabs>
        <w:ind w:left="1080"/>
      </w:pPr>
      <w:r>
        <w:t>What amount does John realize when he sells the 1,000 shares?</w:t>
      </w:r>
    </w:p>
    <w:p w14:paraId="18B880D6" w14:textId="77777777" w:rsidR="00492E3C" w:rsidRDefault="00492E3C" w:rsidP="00492E3C">
      <w:pPr>
        <w:numPr>
          <w:ilvl w:val="1"/>
          <w:numId w:val="1"/>
        </w:numPr>
        <w:tabs>
          <w:tab w:val="clear" w:pos="1440"/>
        </w:tabs>
        <w:ind w:left="1080"/>
      </w:pPr>
      <w:r>
        <w:t>What is the gain/loss for John on the sale of his Intel stock? What is the character of the gain/loss?</w:t>
      </w:r>
    </w:p>
    <w:p w14:paraId="7933478A" w14:textId="77777777" w:rsidR="00745022" w:rsidRDefault="00745022" w:rsidP="000C334E">
      <w:pPr>
        <w:ind w:left="720"/>
      </w:pPr>
    </w:p>
    <w:p w14:paraId="3F4C6302" w14:textId="63F0BF37" w:rsidR="00745022" w:rsidRPr="000C334E" w:rsidRDefault="00492E3C" w:rsidP="00492E3C">
      <w:pPr>
        <w:ind w:left="1440" w:hanging="360"/>
        <w:outlineLvl w:val="0"/>
      </w:pPr>
      <w:r w:rsidRPr="00492E3C">
        <w:rPr>
          <w:i/>
        </w:rPr>
        <w:t>a.</w:t>
      </w:r>
      <w:r>
        <w:rPr>
          <w:i/>
        </w:rPr>
        <w:tab/>
      </w:r>
      <w:r w:rsidR="00745022" w:rsidRPr="000C334E">
        <w:rPr>
          <w:i/>
        </w:rPr>
        <w:t>John’s basis in the 1,000 shares of Intel stock is $30,750</w:t>
      </w:r>
      <w:r w:rsidR="000C1A4C">
        <w:rPr>
          <w:i/>
        </w:rPr>
        <w:t xml:space="preserve">. </w:t>
      </w:r>
      <w:r w:rsidR="00745022" w:rsidRPr="000C334E">
        <w:rPr>
          <w:i/>
        </w:rPr>
        <w:t xml:space="preserve">This is the purchase price of $30,000 (i.e., 30 </w:t>
      </w:r>
      <w:r w:rsidR="00AB5497">
        <w:rPr>
          <w:i/>
        </w:rPr>
        <w:t>×</w:t>
      </w:r>
      <w:r w:rsidR="00AB5497" w:rsidRPr="000C334E">
        <w:rPr>
          <w:i/>
        </w:rPr>
        <w:t xml:space="preserve"> </w:t>
      </w:r>
      <w:r w:rsidR="00745022" w:rsidRPr="000C334E">
        <w:rPr>
          <w:i/>
        </w:rPr>
        <w:t>$1,000) plus the $750 commission paid to the broker.</w:t>
      </w:r>
    </w:p>
    <w:p w14:paraId="707F1087" w14:textId="77777777" w:rsidR="00745022" w:rsidRDefault="00745022" w:rsidP="000C334E">
      <w:pPr>
        <w:ind w:left="720"/>
      </w:pPr>
    </w:p>
    <w:p w14:paraId="55A9EBD9" w14:textId="25E49978" w:rsidR="00745022" w:rsidRDefault="00492E3C" w:rsidP="00492E3C">
      <w:pPr>
        <w:ind w:left="1440" w:hanging="360"/>
        <w:outlineLvl w:val="0"/>
      </w:pPr>
      <w:r w:rsidRPr="00492E3C">
        <w:rPr>
          <w:i/>
        </w:rPr>
        <w:t>b.</w:t>
      </w:r>
      <w:r>
        <w:rPr>
          <w:i/>
        </w:rPr>
        <w:tab/>
      </w:r>
      <w:r w:rsidR="00745022" w:rsidRPr="000C334E">
        <w:rPr>
          <w:i/>
        </w:rPr>
        <w:t>On the sale, John realizes $41,500</w:t>
      </w:r>
      <w:r w:rsidR="000C1A4C">
        <w:rPr>
          <w:i/>
        </w:rPr>
        <w:t xml:space="preserve">. </w:t>
      </w:r>
      <w:r w:rsidR="00745022" w:rsidRPr="000C334E">
        <w:rPr>
          <w:i/>
        </w:rPr>
        <w:t xml:space="preserve">This is the sales price of $42,500 (i.e., 1,000 </w:t>
      </w:r>
      <w:r w:rsidR="00AB5497">
        <w:rPr>
          <w:i/>
        </w:rPr>
        <w:t>×</w:t>
      </w:r>
      <w:r w:rsidR="00AB5497" w:rsidRPr="000C334E">
        <w:rPr>
          <w:i/>
        </w:rPr>
        <w:t xml:space="preserve"> </w:t>
      </w:r>
      <w:r w:rsidR="00745022" w:rsidRPr="000C334E">
        <w:rPr>
          <w:i/>
        </w:rPr>
        <w:t>$42.50) minus the transaction fee of $1,000.</w:t>
      </w:r>
    </w:p>
    <w:p w14:paraId="72C9D7BE" w14:textId="77777777" w:rsidR="00745022" w:rsidRDefault="00745022" w:rsidP="000C334E">
      <w:pPr>
        <w:ind w:left="720"/>
      </w:pPr>
    </w:p>
    <w:p w14:paraId="44669427" w14:textId="77777777" w:rsidR="00745022" w:rsidRPr="000C334E" w:rsidRDefault="00492E3C" w:rsidP="00492E3C">
      <w:pPr>
        <w:ind w:left="1440" w:hanging="360"/>
        <w:outlineLvl w:val="0"/>
        <w:rPr>
          <w:i/>
        </w:rPr>
      </w:pPr>
      <w:r w:rsidRPr="00492E3C">
        <w:rPr>
          <w:i/>
        </w:rPr>
        <w:t>c.</w:t>
      </w:r>
      <w:r>
        <w:rPr>
          <w:i/>
        </w:rPr>
        <w:tab/>
      </w:r>
      <w:r w:rsidR="00745022" w:rsidRPr="000C334E">
        <w:rPr>
          <w:i/>
        </w:rPr>
        <w:t>John’s gain on the sale is $10,750 which is the amount realized minus his adjusted basis (i.e., $41,500 – 30,750). The gain is a long-term capital gain because John held the stock for more than a year before selling.</w:t>
      </w:r>
    </w:p>
    <w:p w14:paraId="2E4E6706" w14:textId="77777777" w:rsidR="00745022" w:rsidRDefault="00745022" w:rsidP="000C334E">
      <w:pPr>
        <w:ind w:left="720"/>
      </w:pPr>
    </w:p>
    <w:p w14:paraId="10D31644" w14:textId="77777777" w:rsidR="00745022" w:rsidRDefault="00745022" w:rsidP="00C04668">
      <w:pPr>
        <w:ind w:left="480" w:hanging="480"/>
        <w:outlineLvl w:val="0"/>
      </w:pPr>
    </w:p>
    <w:p w14:paraId="0D09F451" w14:textId="5402EC33" w:rsidR="00745022" w:rsidRDefault="00745022" w:rsidP="00C04668">
      <w:pPr>
        <w:numPr>
          <w:ilvl w:val="0"/>
          <w:numId w:val="1"/>
        </w:numPr>
        <w:outlineLvl w:val="0"/>
      </w:pPr>
      <w:r>
        <w:t xml:space="preserve">[LO 2] Dahlia is in the </w:t>
      </w:r>
      <w:r w:rsidR="00820967">
        <w:t xml:space="preserve">32 </w:t>
      </w:r>
      <w:r>
        <w:t>percent tax rate bracket and has purchased the following shares of Microsoft common stock over the years:</w:t>
      </w:r>
    </w:p>
    <w:p w14:paraId="51EE7116" w14:textId="77777777" w:rsidR="00745022" w:rsidRDefault="00745022" w:rsidP="00C04668"/>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5"/>
        <w:gridCol w:w="1915"/>
      </w:tblGrid>
      <w:tr w:rsidR="00745022" w14:paraId="02206792" w14:textId="77777777">
        <w:trPr>
          <w:trHeight w:val="140"/>
        </w:trPr>
        <w:tc>
          <w:tcPr>
            <w:tcW w:w="5744" w:type="dxa"/>
            <w:gridSpan w:val="3"/>
          </w:tcPr>
          <w:p w14:paraId="43753288" w14:textId="77777777" w:rsidR="00745022" w:rsidRDefault="00745022" w:rsidP="00B33EBC">
            <w:pPr>
              <w:jc w:val="center"/>
              <w:rPr>
                <w:b/>
              </w:rPr>
            </w:pPr>
            <w:r>
              <w:rPr>
                <w:b/>
              </w:rPr>
              <w:t>Microsoft common s</w:t>
            </w:r>
            <w:r w:rsidRPr="00375C0A">
              <w:rPr>
                <w:b/>
              </w:rPr>
              <w:t>tock</w:t>
            </w:r>
          </w:p>
        </w:tc>
      </w:tr>
      <w:tr w:rsidR="00745022" w14:paraId="65CFDCDE" w14:textId="77777777">
        <w:trPr>
          <w:trHeight w:val="140"/>
        </w:trPr>
        <w:tc>
          <w:tcPr>
            <w:tcW w:w="1914" w:type="dxa"/>
          </w:tcPr>
          <w:p w14:paraId="30320F8D" w14:textId="77777777" w:rsidR="00745022" w:rsidRPr="00375C0A" w:rsidRDefault="00745022" w:rsidP="00B33EBC">
            <w:pPr>
              <w:rPr>
                <w:u w:val="single"/>
              </w:rPr>
            </w:pPr>
            <w:r w:rsidRPr="00375C0A">
              <w:rPr>
                <w:u w:val="single"/>
              </w:rPr>
              <w:t>Date Purchased</w:t>
            </w:r>
          </w:p>
        </w:tc>
        <w:tc>
          <w:tcPr>
            <w:tcW w:w="1915" w:type="dxa"/>
          </w:tcPr>
          <w:p w14:paraId="0B8B60F5" w14:textId="77777777" w:rsidR="00745022" w:rsidRPr="00375C0A" w:rsidRDefault="00745022" w:rsidP="00B33EBC">
            <w:pPr>
              <w:jc w:val="right"/>
              <w:rPr>
                <w:u w:val="single"/>
              </w:rPr>
            </w:pPr>
            <w:r w:rsidRPr="00375C0A">
              <w:rPr>
                <w:u w:val="single"/>
              </w:rPr>
              <w:t>Shares</w:t>
            </w:r>
          </w:p>
        </w:tc>
        <w:tc>
          <w:tcPr>
            <w:tcW w:w="1915" w:type="dxa"/>
          </w:tcPr>
          <w:p w14:paraId="7D133B1E" w14:textId="77777777" w:rsidR="00745022" w:rsidRPr="00375C0A" w:rsidRDefault="00745022" w:rsidP="00B33EBC">
            <w:pPr>
              <w:jc w:val="right"/>
              <w:rPr>
                <w:u w:val="single"/>
              </w:rPr>
            </w:pPr>
            <w:r w:rsidRPr="00375C0A">
              <w:rPr>
                <w:u w:val="single"/>
              </w:rPr>
              <w:t>Basis</w:t>
            </w:r>
          </w:p>
        </w:tc>
      </w:tr>
      <w:tr w:rsidR="00745022" w14:paraId="36ECF942" w14:textId="77777777">
        <w:tc>
          <w:tcPr>
            <w:tcW w:w="1914" w:type="dxa"/>
          </w:tcPr>
          <w:p w14:paraId="72590AEF" w14:textId="0F2C562B" w:rsidR="00745022" w:rsidRDefault="00745022" w:rsidP="002478B0">
            <w:r>
              <w:t>7/10/</w:t>
            </w:r>
            <w:r w:rsidR="00D4175E">
              <w:t>200</w:t>
            </w:r>
            <w:r w:rsidR="00A041E9">
              <w:t>8</w:t>
            </w:r>
          </w:p>
        </w:tc>
        <w:tc>
          <w:tcPr>
            <w:tcW w:w="1915" w:type="dxa"/>
          </w:tcPr>
          <w:p w14:paraId="5D056E4E" w14:textId="77777777" w:rsidR="00745022" w:rsidRDefault="00745022" w:rsidP="00B33EBC">
            <w:pPr>
              <w:jc w:val="right"/>
            </w:pPr>
            <w:r>
              <w:t>400</w:t>
            </w:r>
          </w:p>
        </w:tc>
        <w:tc>
          <w:tcPr>
            <w:tcW w:w="1915" w:type="dxa"/>
          </w:tcPr>
          <w:p w14:paraId="34658D5D" w14:textId="77777777" w:rsidR="00745022" w:rsidRDefault="00745022" w:rsidP="00B33EBC">
            <w:pPr>
              <w:jc w:val="right"/>
            </w:pPr>
            <w:r>
              <w:t>$12,000</w:t>
            </w:r>
          </w:p>
        </w:tc>
      </w:tr>
      <w:tr w:rsidR="00745022" w14:paraId="3B58AA33" w14:textId="77777777">
        <w:tc>
          <w:tcPr>
            <w:tcW w:w="1914" w:type="dxa"/>
          </w:tcPr>
          <w:p w14:paraId="3C2335F7" w14:textId="32F269D7" w:rsidR="00745022" w:rsidRDefault="00745022" w:rsidP="002478B0">
            <w:r>
              <w:t>4/20/</w:t>
            </w:r>
            <w:r w:rsidR="00D4175E">
              <w:t>200</w:t>
            </w:r>
            <w:r w:rsidR="00A041E9">
              <w:t>9</w:t>
            </w:r>
          </w:p>
        </w:tc>
        <w:tc>
          <w:tcPr>
            <w:tcW w:w="1915" w:type="dxa"/>
          </w:tcPr>
          <w:p w14:paraId="2DDA082B" w14:textId="77777777" w:rsidR="00745022" w:rsidRDefault="00745022" w:rsidP="00B33EBC">
            <w:pPr>
              <w:jc w:val="right"/>
            </w:pPr>
            <w:r>
              <w:t>300</w:t>
            </w:r>
          </w:p>
        </w:tc>
        <w:tc>
          <w:tcPr>
            <w:tcW w:w="1915" w:type="dxa"/>
          </w:tcPr>
          <w:p w14:paraId="20781F62" w14:textId="77777777" w:rsidR="00745022" w:rsidRDefault="00745022" w:rsidP="00B33EBC">
            <w:pPr>
              <w:jc w:val="right"/>
            </w:pPr>
            <w:r>
              <w:t>$10,750</w:t>
            </w:r>
          </w:p>
        </w:tc>
      </w:tr>
      <w:tr w:rsidR="00745022" w14:paraId="57943652" w14:textId="77777777">
        <w:trPr>
          <w:trHeight w:val="140"/>
        </w:trPr>
        <w:tc>
          <w:tcPr>
            <w:tcW w:w="1914" w:type="dxa"/>
          </w:tcPr>
          <w:p w14:paraId="538637D3" w14:textId="7AB60AA9" w:rsidR="00745022" w:rsidRDefault="00745022" w:rsidP="00C7034D">
            <w:r>
              <w:t>1/29/</w:t>
            </w:r>
            <w:r w:rsidR="00D4175E">
              <w:t>20</w:t>
            </w:r>
            <w:r w:rsidR="00A041E9">
              <w:t>10</w:t>
            </w:r>
          </w:p>
        </w:tc>
        <w:tc>
          <w:tcPr>
            <w:tcW w:w="1915" w:type="dxa"/>
          </w:tcPr>
          <w:p w14:paraId="5F187690" w14:textId="77777777" w:rsidR="00745022" w:rsidRDefault="00745022" w:rsidP="00B33EBC">
            <w:pPr>
              <w:jc w:val="right"/>
            </w:pPr>
            <w:r>
              <w:t>500</w:t>
            </w:r>
          </w:p>
        </w:tc>
        <w:tc>
          <w:tcPr>
            <w:tcW w:w="1915" w:type="dxa"/>
          </w:tcPr>
          <w:p w14:paraId="48895525" w14:textId="77777777" w:rsidR="00745022" w:rsidRDefault="00745022" w:rsidP="00B33EBC">
            <w:pPr>
              <w:jc w:val="right"/>
            </w:pPr>
            <w:r>
              <w:t>$12,230</w:t>
            </w:r>
          </w:p>
        </w:tc>
      </w:tr>
      <w:tr w:rsidR="00745022" w14:paraId="71D575E1" w14:textId="77777777">
        <w:trPr>
          <w:trHeight w:val="140"/>
        </w:trPr>
        <w:tc>
          <w:tcPr>
            <w:tcW w:w="1914" w:type="dxa"/>
          </w:tcPr>
          <w:p w14:paraId="6BF4C55F" w14:textId="34C3E557" w:rsidR="00745022" w:rsidRDefault="00745022" w:rsidP="00FA6CBC">
            <w:r>
              <w:t>11/02/</w:t>
            </w:r>
            <w:r w:rsidR="00D4175E">
              <w:t>20</w:t>
            </w:r>
            <w:r w:rsidR="00C7034D">
              <w:t>1</w:t>
            </w:r>
            <w:r w:rsidR="00A041E9">
              <w:t>2</w:t>
            </w:r>
          </w:p>
        </w:tc>
        <w:tc>
          <w:tcPr>
            <w:tcW w:w="1915" w:type="dxa"/>
          </w:tcPr>
          <w:p w14:paraId="2844C8B2" w14:textId="77777777" w:rsidR="00745022" w:rsidRDefault="00745022" w:rsidP="00B33EBC">
            <w:pPr>
              <w:jc w:val="right"/>
            </w:pPr>
            <w:r>
              <w:t>250</w:t>
            </w:r>
          </w:p>
        </w:tc>
        <w:tc>
          <w:tcPr>
            <w:tcW w:w="1915" w:type="dxa"/>
          </w:tcPr>
          <w:p w14:paraId="71D41FD0" w14:textId="77777777" w:rsidR="00745022" w:rsidRDefault="00745022" w:rsidP="00B33EBC">
            <w:pPr>
              <w:jc w:val="right"/>
            </w:pPr>
            <w:r>
              <w:t>$7,300</w:t>
            </w:r>
          </w:p>
        </w:tc>
      </w:tr>
    </w:tbl>
    <w:p w14:paraId="25183ABE" w14:textId="77777777" w:rsidR="00745022" w:rsidRDefault="00745022" w:rsidP="00C04668"/>
    <w:p w14:paraId="2D924432" w14:textId="5A41FC77" w:rsidR="00745022" w:rsidRDefault="00745022" w:rsidP="00C04668">
      <w:pPr>
        <w:ind w:left="360"/>
      </w:pPr>
      <w:r>
        <w:t xml:space="preserve">If Dahlia sells 800 shares of Microsoft for $40,000 on December 20, </w:t>
      </w:r>
      <w:r w:rsidR="00D4175E">
        <w:t>201</w:t>
      </w:r>
      <w:r w:rsidR="00A041E9">
        <w:t>8</w:t>
      </w:r>
      <w:r>
        <w:t>, what is her capital gain or loss in each of the following assumptions?</w:t>
      </w:r>
    </w:p>
    <w:p w14:paraId="5F4EFC57" w14:textId="77777777" w:rsidR="00745022" w:rsidRDefault="00745022" w:rsidP="00C04668">
      <w:pPr>
        <w:ind w:left="360"/>
      </w:pPr>
      <w:r>
        <w:t xml:space="preserve"> </w:t>
      </w:r>
    </w:p>
    <w:p w14:paraId="74338F10" w14:textId="77777777" w:rsidR="00745022" w:rsidRDefault="00745022" w:rsidP="00C04668">
      <w:pPr>
        <w:numPr>
          <w:ilvl w:val="0"/>
          <w:numId w:val="2"/>
        </w:numPr>
        <w:tabs>
          <w:tab w:val="clear" w:pos="1440"/>
        </w:tabs>
        <w:ind w:left="1080"/>
      </w:pPr>
      <w:r>
        <w:t>She uses the FIFO method.</w:t>
      </w:r>
    </w:p>
    <w:p w14:paraId="79044382" w14:textId="77777777" w:rsidR="00492E3C" w:rsidRDefault="00492E3C" w:rsidP="00492E3C">
      <w:pPr>
        <w:numPr>
          <w:ilvl w:val="0"/>
          <w:numId w:val="2"/>
        </w:numPr>
        <w:tabs>
          <w:tab w:val="clear" w:pos="1440"/>
        </w:tabs>
        <w:ind w:left="1080"/>
      </w:pPr>
      <w:r>
        <w:t>She uses the specific identification method and she wants to minimize her current year capital gain.</w:t>
      </w:r>
    </w:p>
    <w:p w14:paraId="339EC53E" w14:textId="77777777" w:rsidR="00745022" w:rsidRDefault="00745022" w:rsidP="00387036">
      <w:pPr>
        <w:ind w:left="720"/>
        <w:rPr>
          <w:b/>
        </w:rPr>
      </w:pPr>
    </w:p>
    <w:p w14:paraId="6D01AE77" w14:textId="4DE04711" w:rsidR="00745022" w:rsidRPr="00387036" w:rsidRDefault="00492E3C" w:rsidP="00492E3C">
      <w:pPr>
        <w:ind w:left="1440" w:hanging="360"/>
        <w:rPr>
          <w:i/>
        </w:rPr>
      </w:pPr>
      <w:r w:rsidRPr="00492E3C">
        <w:rPr>
          <w:i/>
        </w:rPr>
        <w:t>a.</w:t>
      </w:r>
      <w:r>
        <w:rPr>
          <w:i/>
        </w:rPr>
        <w:tab/>
      </w:r>
      <w:r w:rsidR="00745022" w:rsidRPr="00387036">
        <w:rPr>
          <w:i/>
        </w:rPr>
        <w:t xml:space="preserve">Under the FIFO method, the first 400 shares sold have a $12,000 basis, the next 300 have a $10,750 basis, and the last 100 shares have a basis of $2,446 (100/500 </w:t>
      </w:r>
      <w:r w:rsidR="00AB5497">
        <w:rPr>
          <w:i/>
        </w:rPr>
        <w:t>×</w:t>
      </w:r>
      <w:r w:rsidR="00AB5497" w:rsidRPr="00387036">
        <w:rPr>
          <w:i/>
        </w:rPr>
        <w:t xml:space="preserve"> </w:t>
      </w:r>
      <w:r w:rsidR="00745022" w:rsidRPr="00387036">
        <w:rPr>
          <w:i/>
        </w:rPr>
        <w:t>$12,230) for a total basis of $25,196</w:t>
      </w:r>
      <w:r w:rsidR="000C1A4C">
        <w:rPr>
          <w:i/>
        </w:rPr>
        <w:t xml:space="preserve">. </w:t>
      </w:r>
      <w:r w:rsidR="00745022" w:rsidRPr="00387036">
        <w:rPr>
          <w:i/>
        </w:rPr>
        <w:t>The resulting capital gain would be $40,000 less the $25,196 tax basis of the shares sold or $14,804</w:t>
      </w:r>
      <w:r w:rsidR="00745022">
        <w:rPr>
          <w:i/>
        </w:rPr>
        <w:t>.</w:t>
      </w:r>
    </w:p>
    <w:p w14:paraId="748F0E5A" w14:textId="77777777" w:rsidR="00745022" w:rsidRDefault="00745022" w:rsidP="00492E3C">
      <w:pPr>
        <w:ind w:left="1440" w:hanging="360"/>
      </w:pPr>
    </w:p>
    <w:p w14:paraId="2F268E1B" w14:textId="40CC838E" w:rsidR="00745022" w:rsidRPr="00387036" w:rsidRDefault="00492E3C" w:rsidP="00492E3C">
      <w:pPr>
        <w:ind w:left="1440" w:hanging="360"/>
        <w:rPr>
          <w:i/>
        </w:rPr>
      </w:pPr>
      <w:r w:rsidRPr="00492E3C">
        <w:rPr>
          <w:i/>
        </w:rPr>
        <w:t>b.</w:t>
      </w:r>
      <w:r>
        <w:rPr>
          <w:i/>
        </w:rPr>
        <w:tab/>
      </w:r>
      <w:r w:rsidR="00745022" w:rsidRPr="00387036">
        <w:rPr>
          <w:i/>
        </w:rPr>
        <w:t xml:space="preserve">The shares purchased in </w:t>
      </w:r>
      <w:r w:rsidR="00A041E9" w:rsidRPr="00387036">
        <w:rPr>
          <w:i/>
        </w:rPr>
        <w:t>200</w:t>
      </w:r>
      <w:r w:rsidR="00A041E9">
        <w:rPr>
          <w:i/>
        </w:rPr>
        <w:t xml:space="preserve">8 </w:t>
      </w:r>
      <w:r w:rsidR="00745022" w:rsidRPr="00387036">
        <w:rPr>
          <w:i/>
        </w:rPr>
        <w:t xml:space="preserve">cost $30 per share, the shares purchased in </w:t>
      </w:r>
      <w:r w:rsidR="00A041E9" w:rsidRPr="00387036">
        <w:rPr>
          <w:i/>
        </w:rPr>
        <w:t>200</w:t>
      </w:r>
      <w:r w:rsidR="00A041E9">
        <w:rPr>
          <w:i/>
        </w:rPr>
        <w:t>9</w:t>
      </w:r>
      <w:r w:rsidR="00A041E9" w:rsidRPr="00387036">
        <w:rPr>
          <w:i/>
        </w:rPr>
        <w:t xml:space="preserve"> </w:t>
      </w:r>
      <w:r w:rsidR="00745022" w:rsidRPr="00387036">
        <w:rPr>
          <w:i/>
        </w:rPr>
        <w:t>cost $3</w:t>
      </w:r>
      <w:r w:rsidR="00745022">
        <w:rPr>
          <w:i/>
        </w:rPr>
        <w:t>5</w:t>
      </w:r>
      <w:r w:rsidR="00745022" w:rsidRPr="00387036">
        <w:rPr>
          <w:i/>
        </w:rPr>
        <w:t xml:space="preserve">.83 per share, the shares purchased in </w:t>
      </w:r>
      <w:r w:rsidR="00DD5478" w:rsidRPr="00387036">
        <w:rPr>
          <w:i/>
        </w:rPr>
        <w:t>20</w:t>
      </w:r>
      <w:r w:rsidR="00A041E9">
        <w:rPr>
          <w:i/>
        </w:rPr>
        <w:t>1</w:t>
      </w:r>
      <w:r w:rsidR="00DD5478" w:rsidRPr="00387036">
        <w:rPr>
          <w:i/>
        </w:rPr>
        <w:t xml:space="preserve">0 </w:t>
      </w:r>
      <w:r w:rsidR="00745022" w:rsidRPr="00387036">
        <w:rPr>
          <w:i/>
        </w:rPr>
        <w:t xml:space="preserve">cost $24.46 per share, and the shares purchased in </w:t>
      </w:r>
      <w:r w:rsidR="00DD5478" w:rsidRPr="00387036">
        <w:rPr>
          <w:i/>
        </w:rPr>
        <w:t>20</w:t>
      </w:r>
      <w:r w:rsidR="00C7034D">
        <w:rPr>
          <w:i/>
        </w:rPr>
        <w:t>1</w:t>
      </w:r>
      <w:r w:rsidR="00A041E9">
        <w:rPr>
          <w:i/>
        </w:rPr>
        <w:t>2</w:t>
      </w:r>
      <w:r w:rsidR="00DD5478">
        <w:rPr>
          <w:i/>
        </w:rPr>
        <w:t xml:space="preserve"> </w:t>
      </w:r>
      <w:r w:rsidR="00745022" w:rsidRPr="00387036">
        <w:rPr>
          <w:i/>
        </w:rPr>
        <w:t>cost $29.20 per share</w:t>
      </w:r>
      <w:r w:rsidR="000C1A4C">
        <w:rPr>
          <w:i/>
        </w:rPr>
        <w:t xml:space="preserve">. </w:t>
      </w:r>
      <w:r w:rsidR="00745022" w:rsidRPr="00387036">
        <w:rPr>
          <w:i/>
        </w:rPr>
        <w:t xml:space="preserve">To minimize her capital gain, Dahlia should specifically identify the 300 shares purchased in </w:t>
      </w:r>
      <w:r w:rsidR="00DD5478">
        <w:rPr>
          <w:i/>
        </w:rPr>
        <w:t>200</w:t>
      </w:r>
      <w:r w:rsidR="00A041E9">
        <w:rPr>
          <w:i/>
        </w:rPr>
        <w:t>9</w:t>
      </w:r>
      <w:r w:rsidR="00745022" w:rsidRPr="00387036">
        <w:rPr>
          <w:i/>
        </w:rPr>
        <w:t xml:space="preserve">, then the 400 shares purchased in </w:t>
      </w:r>
      <w:r w:rsidR="00DD5478">
        <w:rPr>
          <w:i/>
        </w:rPr>
        <w:t>200</w:t>
      </w:r>
      <w:r w:rsidR="00A041E9">
        <w:rPr>
          <w:i/>
        </w:rPr>
        <w:t>8</w:t>
      </w:r>
      <w:r w:rsidR="00DD5478" w:rsidRPr="00387036">
        <w:rPr>
          <w:i/>
        </w:rPr>
        <w:t xml:space="preserve"> </w:t>
      </w:r>
      <w:r w:rsidR="00745022" w:rsidRPr="00387036">
        <w:rPr>
          <w:i/>
        </w:rPr>
        <w:t xml:space="preserve">and then 100 of the shares purchased in </w:t>
      </w:r>
      <w:r w:rsidR="00DD5478">
        <w:rPr>
          <w:i/>
        </w:rPr>
        <w:t>20</w:t>
      </w:r>
      <w:r w:rsidR="00C7034D">
        <w:rPr>
          <w:i/>
        </w:rPr>
        <w:t>1</w:t>
      </w:r>
      <w:r w:rsidR="00A041E9">
        <w:rPr>
          <w:i/>
        </w:rPr>
        <w:t>2</w:t>
      </w:r>
      <w:r w:rsidR="000C1A4C">
        <w:rPr>
          <w:i/>
        </w:rPr>
        <w:t xml:space="preserve">. </w:t>
      </w:r>
      <w:r w:rsidR="00745022" w:rsidRPr="00387036">
        <w:rPr>
          <w:i/>
        </w:rPr>
        <w:t xml:space="preserve">Under the specific identification method, the 300 shares purchased in </w:t>
      </w:r>
      <w:r w:rsidR="00DD5478">
        <w:rPr>
          <w:i/>
        </w:rPr>
        <w:t>200</w:t>
      </w:r>
      <w:r w:rsidR="00A041E9">
        <w:rPr>
          <w:i/>
        </w:rPr>
        <w:t>9</w:t>
      </w:r>
      <w:r w:rsidR="00DD5478" w:rsidRPr="00387036">
        <w:rPr>
          <w:i/>
        </w:rPr>
        <w:t xml:space="preserve"> </w:t>
      </w:r>
      <w:r w:rsidR="00745022" w:rsidRPr="00387036">
        <w:rPr>
          <w:i/>
        </w:rPr>
        <w:t xml:space="preserve">have a $10,750 basis, the 400 shares purchased in </w:t>
      </w:r>
      <w:r w:rsidR="00DD5478">
        <w:rPr>
          <w:i/>
        </w:rPr>
        <w:t>200</w:t>
      </w:r>
      <w:r w:rsidR="00A041E9">
        <w:rPr>
          <w:i/>
        </w:rPr>
        <w:t>8</w:t>
      </w:r>
      <w:r w:rsidR="00DD5478" w:rsidRPr="00387036">
        <w:rPr>
          <w:i/>
        </w:rPr>
        <w:t xml:space="preserve"> </w:t>
      </w:r>
      <w:r w:rsidR="00745022" w:rsidRPr="00387036">
        <w:rPr>
          <w:i/>
        </w:rPr>
        <w:t xml:space="preserve">have a $12,000 basis, and the 100 shares purchased in </w:t>
      </w:r>
      <w:r w:rsidR="00DD5478">
        <w:rPr>
          <w:i/>
        </w:rPr>
        <w:t>20</w:t>
      </w:r>
      <w:r w:rsidR="002478B0">
        <w:rPr>
          <w:i/>
        </w:rPr>
        <w:t>1</w:t>
      </w:r>
      <w:r w:rsidR="00A041E9">
        <w:rPr>
          <w:i/>
        </w:rPr>
        <w:t>2</w:t>
      </w:r>
      <w:r w:rsidR="00DD5478" w:rsidRPr="00387036">
        <w:rPr>
          <w:i/>
        </w:rPr>
        <w:t xml:space="preserve"> </w:t>
      </w:r>
      <w:r w:rsidR="00745022" w:rsidRPr="00387036">
        <w:rPr>
          <w:i/>
        </w:rPr>
        <w:t xml:space="preserve">have a basis of $2,920 (100/250 </w:t>
      </w:r>
      <w:r w:rsidR="0059137D">
        <w:rPr>
          <w:i/>
        </w:rPr>
        <w:t xml:space="preserve">× </w:t>
      </w:r>
      <w:r w:rsidR="00745022" w:rsidRPr="00387036">
        <w:rPr>
          <w:i/>
        </w:rPr>
        <w:t>$7,300) for a total basis of $25,670</w:t>
      </w:r>
      <w:r w:rsidR="000C1A4C">
        <w:rPr>
          <w:i/>
        </w:rPr>
        <w:t xml:space="preserve">. </w:t>
      </w:r>
      <w:r w:rsidR="00745022" w:rsidRPr="00387036">
        <w:rPr>
          <w:i/>
        </w:rPr>
        <w:t xml:space="preserve">The resulting capital gain would be </w:t>
      </w:r>
      <w:r w:rsidR="00745022">
        <w:rPr>
          <w:i/>
        </w:rPr>
        <w:t xml:space="preserve">the </w:t>
      </w:r>
      <w:r w:rsidR="00745022" w:rsidRPr="00387036">
        <w:rPr>
          <w:i/>
        </w:rPr>
        <w:t xml:space="preserve">$40,000 </w:t>
      </w:r>
      <w:r w:rsidR="00745022">
        <w:rPr>
          <w:i/>
        </w:rPr>
        <w:t xml:space="preserve">sales proceeds </w:t>
      </w:r>
      <w:r w:rsidR="00745022" w:rsidRPr="00387036">
        <w:rPr>
          <w:i/>
        </w:rPr>
        <w:t>less the $25,670 tax basis of the shares sold or $14,330.</w:t>
      </w:r>
    </w:p>
    <w:p w14:paraId="75265B93" w14:textId="77777777" w:rsidR="00745022" w:rsidRDefault="00745022" w:rsidP="00387036">
      <w:pPr>
        <w:ind w:left="720"/>
      </w:pPr>
    </w:p>
    <w:p w14:paraId="5B941854" w14:textId="77777777" w:rsidR="00745022" w:rsidRDefault="00745022" w:rsidP="00C04668">
      <w:pPr>
        <w:ind w:left="720"/>
      </w:pPr>
    </w:p>
    <w:p w14:paraId="5B762728" w14:textId="513F4C6A" w:rsidR="00745022" w:rsidRDefault="00745022" w:rsidP="00C04668">
      <w:pPr>
        <w:numPr>
          <w:ilvl w:val="0"/>
          <w:numId w:val="1"/>
        </w:numPr>
      </w:pPr>
      <w:r>
        <w:t>[LO 2] {Research} Karyn loaned $20,000 to her co-worker to begin a new business several years ago</w:t>
      </w:r>
      <w:r w:rsidR="000C1A4C">
        <w:t xml:space="preserve">. </w:t>
      </w:r>
      <w:r>
        <w:t>If her co-worker declares bankruptcy on June 22</w:t>
      </w:r>
      <w:r w:rsidR="00406E71">
        <w:t xml:space="preserve"> </w:t>
      </w:r>
      <w:r>
        <w:t>of the current year, is Karyn allowed to deduct the bad debt loss this year? If she can deduct the loss, what is the character of the loss?</w:t>
      </w:r>
    </w:p>
    <w:p w14:paraId="5EC8FECC" w14:textId="77777777" w:rsidR="00745022" w:rsidRDefault="00745022" w:rsidP="00387036"/>
    <w:p w14:paraId="5FE3CD12" w14:textId="00DFB176" w:rsidR="00745022" w:rsidRPr="00387036" w:rsidRDefault="00745022" w:rsidP="00387036">
      <w:pPr>
        <w:ind w:left="360"/>
        <w:rPr>
          <w:i/>
        </w:rPr>
      </w:pPr>
      <w:r w:rsidRPr="00387036">
        <w:rPr>
          <w:i/>
        </w:rPr>
        <w:t xml:space="preserve">According to IRC </w:t>
      </w:r>
      <w:r w:rsidR="00820967">
        <w:rPr>
          <w:i/>
        </w:rPr>
        <w:t>§</w:t>
      </w:r>
      <w:r w:rsidRPr="00387036">
        <w:rPr>
          <w:i/>
        </w:rPr>
        <w:t>166 and Publication 550, taxpayers may deduct non-business bad debts in the year the amount of the loss can be determined</w:t>
      </w:r>
      <w:r w:rsidR="000C1A4C">
        <w:rPr>
          <w:i/>
        </w:rPr>
        <w:t xml:space="preserve">. </w:t>
      </w:r>
      <w:r w:rsidRPr="00387036">
        <w:rPr>
          <w:i/>
        </w:rPr>
        <w:t>Because Karyn will not be able to measure her actual loss until the bankruptcy process is complete, she must wait to deduct her loss until she knows with certainty the amount of her loss.</w:t>
      </w:r>
    </w:p>
    <w:p w14:paraId="2CDA6817" w14:textId="77777777" w:rsidR="00745022" w:rsidRDefault="00745022" w:rsidP="00C04668">
      <w:pPr>
        <w:ind w:left="360" w:hanging="477"/>
      </w:pPr>
    </w:p>
    <w:p w14:paraId="51D7F6BF" w14:textId="16F23478" w:rsidR="00745022" w:rsidRDefault="00745022" w:rsidP="00C04668">
      <w:pPr>
        <w:numPr>
          <w:ilvl w:val="0"/>
          <w:numId w:val="1"/>
        </w:numPr>
      </w:pPr>
      <w:r>
        <w:t>[LO 2] Sue has 5,000 shares of Sony stock that has an adjusted basis of $27,500</w:t>
      </w:r>
      <w:r w:rsidR="000C1A4C">
        <w:t xml:space="preserve">. </w:t>
      </w:r>
      <w:r>
        <w:t>She sold the 5,000 shares of stock for cash of $10,000, and she also received a piece of land as part of the proceeds</w:t>
      </w:r>
      <w:r w:rsidR="000C1A4C">
        <w:t xml:space="preserve">. </w:t>
      </w:r>
      <w:r>
        <w:t>The land was valued at $20,000 and had an adjusted basis to the buyer of $12,000</w:t>
      </w:r>
      <w:r w:rsidR="000C1A4C">
        <w:t xml:space="preserve">. </w:t>
      </w:r>
      <w:r>
        <w:t>What is Sue’s gain or loss on the sale of 5,000 shares of Sony stock?</w:t>
      </w:r>
    </w:p>
    <w:p w14:paraId="6521E6A9" w14:textId="77777777" w:rsidR="00745022" w:rsidRDefault="00745022" w:rsidP="00387036"/>
    <w:p w14:paraId="609AC319" w14:textId="77777777" w:rsidR="00745022" w:rsidRPr="003F796D" w:rsidRDefault="00745022" w:rsidP="003F796D">
      <w:pPr>
        <w:ind w:left="360"/>
        <w:outlineLvl w:val="0"/>
        <w:rPr>
          <w:i/>
        </w:rPr>
      </w:pPr>
      <w:r w:rsidRPr="003F796D">
        <w:rPr>
          <w:i/>
        </w:rPr>
        <w:t>Sue’s gain on the sale is $2,500</w:t>
      </w:r>
      <w:r w:rsidR="0076629A">
        <w:rPr>
          <w:i/>
        </w:rPr>
        <w:t>,</w:t>
      </w:r>
      <w:r w:rsidRPr="003F796D">
        <w:rPr>
          <w:i/>
        </w:rPr>
        <w:t xml:space="preserve"> which is the amount realized of $30,000 ($10,000+$20,000) less her adjusted basis of $27,500. Note that the value of the land is included in her amount realized along with the cash she received.</w:t>
      </w:r>
    </w:p>
    <w:p w14:paraId="2C3B90E4" w14:textId="77777777" w:rsidR="00745022" w:rsidRDefault="00745022" w:rsidP="00C04668"/>
    <w:p w14:paraId="04324982" w14:textId="20A7AB4D" w:rsidR="00745022" w:rsidRDefault="00745022" w:rsidP="00C04668">
      <w:pPr>
        <w:numPr>
          <w:ilvl w:val="0"/>
          <w:numId w:val="1"/>
        </w:numPr>
      </w:pPr>
      <w:r w:rsidRPr="00AA2F52">
        <w:t>[LO 2] Matt and M</w:t>
      </w:r>
      <w:r w:rsidRPr="00132E5D">
        <w:t>eg Comer are married</w:t>
      </w:r>
      <w:r w:rsidR="00BD3CD2">
        <w:t xml:space="preserve"> and file a joint tax return</w:t>
      </w:r>
      <w:r w:rsidR="000C1A4C">
        <w:t xml:space="preserve">. </w:t>
      </w:r>
      <w:r w:rsidRPr="00132E5D">
        <w:t>They do not have any children</w:t>
      </w:r>
      <w:r w:rsidR="000C1A4C">
        <w:t xml:space="preserve">. </w:t>
      </w:r>
      <w:r w:rsidRPr="00132E5D">
        <w:t>Matt works as a history professor at a local university and earns a salary of $</w:t>
      </w:r>
      <w:r w:rsidR="00B27DE4">
        <w:t>6</w:t>
      </w:r>
      <w:r w:rsidR="00381EBF">
        <w:t>4</w:t>
      </w:r>
      <w:r w:rsidRPr="00132E5D">
        <w:t>,000</w:t>
      </w:r>
      <w:r w:rsidR="000C1A4C">
        <w:t xml:space="preserve">. </w:t>
      </w:r>
      <w:r w:rsidRPr="00132E5D">
        <w:t>Meg works part-time at the same university</w:t>
      </w:r>
      <w:r w:rsidR="000C1A4C">
        <w:t xml:space="preserve">. </w:t>
      </w:r>
      <w:r w:rsidRPr="00132E5D">
        <w:t>She earns $</w:t>
      </w:r>
      <w:r w:rsidR="00A24F9B">
        <w:t>3</w:t>
      </w:r>
      <w:r w:rsidRPr="00132E5D">
        <w:t>1,000 a year</w:t>
      </w:r>
      <w:r w:rsidR="000C1A4C">
        <w:t xml:space="preserve">. </w:t>
      </w:r>
      <w:r w:rsidRPr="00132E5D">
        <w:t>The couple does not itemize deductions</w:t>
      </w:r>
      <w:r w:rsidR="000C1A4C">
        <w:t xml:space="preserve">. </w:t>
      </w:r>
      <w:r w:rsidRPr="00132E5D">
        <w:t>Other than salary</w:t>
      </w:r>
      <w:r>
        <w:t>,</w:t>
      </w:r>
      <w:r w:rsidRPr="00132E5D">
        <w:t xml:space="preserve"> </w:t>
      </w:r>
      <w:r>
        <w:t>the Comer</w:t>
      </w:r>
      <w:r w:rsidRPr="00132E5D">
        <w:t>s</w:t>
      </w:r>
      <w:r>
        <w:t>’</w:t>
      </w:r>
      <w:r w:rsidRPr="00132E5D">
        <w:t xml:space="preserve"> only other source of income is from the disposition of various capital assets (mostly stocks).</w:t>
      </w:r>
    </w:p>
    <w:p w14:paraId="183AA911" w14:textId="77777777" w:rsidR="00745022" w:rsidRPr="00132E5D" w:rsidRDefault="00745022" w:rsidP="003F796D">
      <w:r w:rsidRPr="00132E5D">
        <w:t xml:space="preserve"> </w:t>
      </w:r>
    </w:p>
    <w:p w14:paraId="1D74A46E" w14:textId="6F98B98E" w:rsidR="00745022" w:rsidRPr="00132E5D" w:rsidRDefault="00745022" w:rsidP="00C04668">
      <w:pPr>
        <w:ind w:left="960" w:hanging="240"/>
        <w:outlineLvl w:val="0"/>
      </w:pPr>
      <w:r>
        <w:t>a.</w:t>
      </w:r>
      <w:r w:rsidRPr="00132E5D">
        <w:t xml:space="preserve"> What is the Comers</w:t>
      </w:r>
      <w:r>
        <w:t>’</w:t>
      </w:r>
      <w:r w:rsidRPr="00132E5D">
        <w:t xml:space="preserve"> tax liability for </w:t>
      </w:r>
      <w:r w:rsidR="007A1C9F">
        <w:t>2018</w:t>
      </w:r>
      <w:r w:rsidR="007A1C9F" w:rsidRPr="00132E5D">
        <w:t xml:space="preserve"> </w:t>
      </w:r>
      <w:r w:rsidRPr="00132E5D">
        <w:t>if they report the following capital gains and losses for the year?</w:t>
      </w:r>
    </w:p>
    <w:p w14:paraId="1ED4CCBB" w14:textId="77777777" w:rsidR="00745022" w:rsidRPr="00132E5D" w:rsidRDefault="00745022" w:rsidP="00C04668">
      <w:pPr>
        <w:outlineLvl w:val="0"/>
      </w:pPr>
      <w:r w:rsidRPr="00132E5D">
        <w:tab/>
      </w:r>
      <w:r w:rsidRPr="00132E5D">
        <w:tab/>
        <w:t>Short-term capital gains</w:t>
      </w:r>
      <w:r w:rsidRPr="00132E5D">
        <w:tab/>
        <w:t>$</w:t>
      </w:r>
      <w:r w:rsidR="0056531F">
        <w:t>9</w:t>
      </w:r>
      <w:r w:rsidRPr="00132E5D">
        <w:t>,000</w:t>
      </w:r>
    </w:p>
    <w:p w14:paraId="64BEE152" w14:textId="77777777" w:rsidR="00745022" w:rsidRPr="00132E5D" w:rsidRDefault="00745022" w:rsidP="00C04668">
      <w:pPr>
        <w:outlineLvl w:val="0"/>
      </w:pPr>
      <w:r w:rsidRPr="00132E5D">
        <w:tab/>
      </w:r>
      <w:r w:rsidRPr="00132E5D">
        <w:tab/>
        <w:t>Short-term capital losses</w:t>
      </w:r>
      <w:r w:rsidRPr="00132E5D">
        <w:tab/>
        <w:t>($2,000)</w:t>
      </w:r>
    </w:p>
    <w:p w14:paraId="09D6FA42" w14:textId="77777777" w:rsidR="00745022" w:rsidRPr="00132E5D" w:rsidRDefault="00745022" w:rsidP="00C04668">
      <w:pPr>
        <w:outlineLvl w:val="0"/>
      </w:pPr>
      <w:r w:rsidRPr="00132E5D">
        <w:tab/>
      </w:r>
      <w:r w:rsidRPr="00132E5D">
        <w:tab/>
        <w:t>Long-term capital gains</w:t>
      </w:r>
      <w:r w:rsidRPr="00132E5D">
        <w:tab/>
      </w:r>
      <w:r w:rsidRPr="005E2480">
        <w:t>$15,000</w:t>
      </w:r>
    </w:p>
    <w:p w14:paraId="174B65EF" w14:textId="77777777" w:rsidR="00745022" w:rsidRDefault="00745022" w:rsidP="00C04668">
      <w:pPr>
        <w:outlineLvl w:val="0"/>
      </w:pPr>
      <w:r w:rsidRPr="00132E5D">
        <w:tab/>
      </w:r>
      <w:r w:rsidRPr="00132E5D">
        <w:tab/>
        <w:t>Long-term capital losses</w:t>
      </w:r>
      <w:r w:rsidRPr="00132E5D">
        <w:tab/>
        <w:t>($6,000)</w:t>
      </w:r>
    </w:p>
    <w:p w14:paraId="7F838C16" w14:textId="51135DC4" w:rsidR="0099399F" w:rsidRDefault="0099399F" w:rsidP="0099399F">
      <w:pPr>
        <w:ind w:left="720"/>
        <w:outlineLvl w:val="0"/>
      </w:pPr>
      <w:r>
        <w:t>b.</w:t>
      </w:r>
      <w:r w:rsidRPr="00132E5D">
        <w:t xml:space="preserve"> What is the Comers</w:t>
      </w:r>
      <w:r>
        <w:t>’</w:t>
      </w:r>
      <w:r w:rsidRPr="00132E5D">
        <w:t xml:space="preserve"> tax liability for </w:t>
      </w:r>
      <w:r w:rsidR="00DD5478">
        <w:t>201</w:t>
      </w:r>
      <w:r w:rsidR="007A1C9F">
        <w:t>8</w:t>
      </w:r>
      <w:r w:rsidR="00DD5478" w:rsidRPr="00132E5D">
        <w:t xml:space="preserve"> </w:t>
      </w:r>
      <w:r w:rsidRPr="00132E5D">
        <w:t>if they report the following capital gains and losses for the year?</w:t>
      </w:r>
    </w:p>
    <w:p w14:paraId="74A23155" w14:textId="77777777" w:rsidR="0099399F" w:rsidRPr="00132E5D" w:rsidRDefault="0099399F" w:rsidP="0099399F">
      <w:pPr>
        <w:ind w:left="720"/>
        <w:outlineLvl w:val="0"/>
      </w:pPr>
    </w:p>
    <w:p w14:paraId="0D4B8823" w14:textId="77777777" w:rsidR="0099399F" w:rsidRPr="00132E5D" w:rsidRDefault="0099399F" w:rsidP="0099399F">
      <w:pPr>
        <w:outlineLvl w:val="0"/>
      </w:pPr>
      <w:r w:rsidRPr="00132E5D">
        <w:tab/>
      </w:r>
      <w:r w:rsidRPr="00132E5D">
        <w:tab/>
        <w:t>Short-term capital gains</w:t>
      </w:r>
      <w:r w:rsidRPr="00132E5D">
        <w:tab/>
        <w:t>$1,500</w:t>
      </w:r>
    </w:p>
    <w:p w14:paraId="25B25CBD" w14:textId="77777777" w:rsidR="0099399F" w:rsidRPr="00132E5D" w:rsidRDefault="0099399F" w:rsidP="0099399F">
      <w:pPr>
        <w:outlineLvl w:val="0"/>
      </w:pPr>
      <w:r w:rsidRPr="00132E5D">
        <w:tab/>
      </w:r>
      <w:r w:rsidRPr="00132E5D">
        <w:tab/>
        <w:t>Short-term capital losses</w:t>
      </w:r>
      <w:r w:rsidRPr="00132E5D">
        <w:tab/>
        <w:t xml:space="preserve">       $0</w:t>
      </w:r>
    </w:p>
    <w:p w14:paraId="469C9713" w14:textId="0F3A4309" w:rsidR="0099399F" w:rsidRPr="00132E5D" w:rsidRDefault="0099399F" w:rsidP="0099399F">
      <w:pPr>
        <w:outlineLvl w:val="0"/>
      </w:pPr>
      <w:r w:rsidRPr="00132E5D">
        <w:tab/>
      </w:r>
      <w:r w:rsidRPr="00132E5D">
        <w:tab/>
        <w:t>Long-term capital gains</w:t>
      </w:r>
      <w:r w:rsidRPr="00132E5D">
        <w:tab/>
        <w:t>$</w:t>
      </w:r>
      <w:r w:rsidR="004F526C">
        <w:t>13</w:t>
      </w:r>
      <w:r>
        <w:t>,000</w:t>
      </w:r>
    </w:p>
    <w:p w14:paraId="005C9AA2" w14:textId="77777777" w:rsidR="0099399F" w:rsidRDefault="0099399F" w:rsidP="0099399F">
      <w:pPr>
        <w:outlineLvl w:val="0"/>
      </w:pPr>
      <w:r>
        <w:tab/>
      </w:r>
      <w:r>
        <w:tab/>
        <w:t xml:space="preserve">Long-term capital losses       </w:t>
      </w:r>
      <w:r w:rsidRPr="00132E5D">
        <w:t>($10,000)</w:t>
      </w:r>
    </w:p>
    <w:p w14:paraId="7BA4ED73" w14:textId="77777777" w:rsidR="00745022" w:rsidRDefault="00745022" w:rsidP="00C04668">
      <w:pPr>
        <w:outlineLvl w:val="0"/>
      </w:pPr>
    </w:p>
    <w:p w14:paraId="01364241" w14:textId="6F0118AB" w:rsidR="00745022" w:rsidRPr="00A639E0" w:rsidRDefault="00745022" w:rsidP="001B519C">
      <w:pPr>
        <w:numPr>
          <w:ilvl w:val="0"/>
          <w:numId w:val="11"/>
        </w:numPr>
        <w:ind w:left="1440"/>
        <w:outlineLvl w:val="0"/>
        <w:rPr>
          <w:i/>
        </w:rPr>
      </w:pPr>
      <w:r w:rsidRPr="00A639E0">
        <w:rPr>
          <w:i/>
        </w:rPr>
        <w:t xml:space="preserve">Salary </w:t>
      </w:r>
      <w:r w:rsidRPr="00A639E0">
        <w:rPr>
          <w:i/>
        </w:rPr>
        <w:tab/>
      </w:r>
      <w:r w:rsidRPr="00A639E0">
        <w:rPr>
          <w:i/>
        </w:rPr>
        <w:tab/>
      </w:r>
      <w:r w:rsidRPr="00A639E0">
        <w:rPr>
          <w:i/>
        </w:rPr>
        <w:tab/>
      </w:r>
      <w:r w:rsidRPr="00A639E0">
        <w:rPr>
          <w:i/>
        </w:rPr>
        <w:tab/>
      </w:r>
      <w:r w:rsidR="001B519C" w:rsidRPr="00A639E0">
        <w:rPr>
          <w:i/>
        </w:rPr>
        <w:tab/>
      </w:r>
      <w:r w:rsidRPr="00A639E0">
        <w:rPr>
          <w:i/>
        </w:rPr>
        <w:t>$</w:t>
      </w:r>
      <w:r w:rsidR="00A24F9B">
        <w:rPr>
          <w:i/>
        </w:rPr>
        <w:t>9</w:t>
      </w:r>
      <w:r w:rsidR="00B27DE4" w:rsidRPr="00A639E0">
        <w:rPr>
          <w:i/>
        </w:rPr>
        <w:t>5</w:t>
      </w:r>
      <w:r w:rsidRPr="00A639E0">
        <w:rPr>
          <w:i/>
        </w:rPr>
        <w:t>,000</w:t>
      </w:r>
    </w:p>
    <w:p w14:paraId="199861A7" w14:textId="77777777" w:rsidR="00745022" w:rsidRPr="008D3A69" w:rsidRDefault="00745022" w:rsidP="008D3A69">
      <w:pPr>
        <w:ind w:left="1440"/>
        <w:outlineLvl w:val="0"/>
        <w:rPr>
          <w:i/>
        </w:rPr>
      </w:pPr>
      <w:r>
        <w:rPr>
          <w:i/>
        </w:rPr>
        <w:t>Net s</w:t>
      </w:r>
      <w:r w:rsidRPr="008D3A69">
        <w:rPr>
          <w:i/>
        </w:rPr>
        <w:t xml:space="preserve">hort-term capital gain </w:t>
      </w:r>
      <w:r w:rsidRPr="008D3A69">
        <w:rPr>
          <w:i/>
        </w:rPr>
        <w:tab/>
        <w:t xml:space="preserve">  </w:t>
      </w:r>
      <w:r>
        <w:rPr>
          <w:i/>
        </w:rPr>
        <w:tab/>
      </w:r>
      <w:r w:rsidRPr="008D3A69">
        <w:rPr>
          <w:i/>
        </w:rPr>
        <w:t xml:space="preserve"> </w:t>
      </w:r>
      <w:r>
        <w:rPr>
          <w:i/>
        </w:rPr>
        <w:t xml:space="preserve">   </w:t>
      </w:r>
      <w:r w:rsidR="0056531F">
        <w:rPr>
          <w:i/>
        </w:rPr>
        <w:t>7</w:t>
      </w:r>
      <w:r w:rsidRPr="008D3A69">
        <w:rPr>
          <w:i/>
        </w:rPr>
        <w:t>,000</w:t>
      </w:r>
    </w:p>
    <w:p w14:paraId="05E6F354" w14:textId="77777777" w:rsidR="00745022" w:rsidRPr="003E14AA" w:rsidRDefault="00745022" w:rsidP="008D3A69">
      <w:pPr>
        <w:ind w:left="1440"/>
        <w:outlineLvl w:val="0"/>
        <w:rPr>
          <w:i/>
        </w:rPr>
      </w:pPr>
      <w:r>
        <w:rPr>
          <w:i/>
        </w:rPr>
        <w:t>Net l</w:t>
      </w:r>
      <w:r w:rsidRPr="008D3A69">
        <w:rPr>
          <w:i/>
        </w:rPr>
        <w:t xml:space="preserve">ong-term </w:t>
      </w:r>
      <w:r w:rsidRPr="003E14AA">
        <w:rPr>
          <w:i/>
        </w:rPr>
        <w:t xml:space="preserve">capital gain     </w:t>
      </w:r>
      <w:r w:rsidRPr="003E14AA">
        <w:rPr>
          <w:i/>
        </w:rPr>
        <w:tab/>
        <w:t xml:space="preserve">  </w:t>
      </w:r>
      <w:r w:rsidRPr="003E14AA">
        <w:rPr>
          <w:i/>
        </w:rPr>
        <w:tab/>
      </w:r>
      <w:r w:rsidRPr="003E14AA">
        <w:rPr>
          <w:i/>
          <w:u w:val="single"/>
        </w:rPr>
        <w:t xml:space="preserve">    9,000</w:t>
      </w:r>
    </w:p>
    <w:p w14:paraId="08118A37" w14:textId="181C4A9D" w:rsidR="00745022" w:rsidRPr="003E14AA" w:rsidRDefault="00745022" w:rsidP="008D3A69">
      <w:pPr>
        <w:ind w:left="1440"/>
        <w:outlineLvl w:val="0"/>
        <w:rPr>
          <w:i/>
        </w:rPr>
      </w:pPr>
      <w:r w:rsidRPr="003E14AA">
        <w:rPr>
          <w:i/>
        </w:rPr>
        <w:t>AGI</w:t>
      </w:r>
      <w:r w:rsidRPr="003E14AA">
        <w:rPr>
          <w:i/>
        </w:rPr>
        <w:tab/>
      </w:r>
      <w:r w:rsidRPr="003E14AA">
        <w:rPr>
          <w:i/>
        </w:rPr>
        <w:tab/>
      </w:r>
      <w:r w:rsidRPr="003E14AA">
        <w:rPr>
          <w:i/>
        </w:rPr>
        <w:tab/>
      </w:r>
      <w:r w:rsidRPr="003E14AA">
        <w:rPr>
          <w:i/>
        </w:rPr>
        <w:tab/>
      </w:r>
      <w:r w:rsidRPr="003E14AA">
        <w:rPr>
          <w:i/>
        </w:rPr>
        <w:tab/>
        <w:t>$</w:t>
      </w:r>
      <w:r w:rsidR="00DD5478" w:rsidRPr="003E14AA">
        <w:rPr>
          <w:i/>
        </w:rPr>
        <w:t>1</w:t>
      </w:r>
      <w:r w:rsidR="00A24F9B">
        <w:rPr>
          <w:i/>
        </w:rPr>
        <w:t>1</w:t>
      </w:r>
      <w:r w:rsidR="00B27DE4" w:rsidRPr="003E14AA">
        <w:rPr>
          <w:i/>
        </w:rPr>
        <w:t>1</w:t>
      </w:r>
      <w:r w:rsidRPr="003E14AA">
        <w:rPr>
          <w:i/>
        </w:rPr>
        <w:t>,000</w:t>
      </w:r>
    </w:p>
    <w:p w14:paraId="23F00DA7" w14:textId="5AC6D9F7" w:rsidR="00745022" w:rsidRPr="003E14AA" w:rsidRDefault="00745022" w:rsidP="008D3A69">
      <w:pPr>
        <w:ind w:left="1440"/>
        <w:outlineLvl w:val="0"/>
        <w:rPr>
          <w:i/>
        </w:rPr>
      </w:pPr>
      <w:r w:rsidRPr="003E14AA">
        <w:rPr>
          <w:i/>
        </w:rPr>
        <w:t>Standard deduction</w:t>
      </w:r>
      <w:r w:rsidRPr="003E14AA">
        <w:rPr>
          <w:i/>
        </w:rPr>
        <w:tab/>
      </w:r>
      <w:r w:rsidRPr="003E14AA">
        <w:rPr>
          <w:i/>
        </w:rPr>
        <w:tab/>
      </w:r>
      <w:r w:rsidRPr="003E14AA">
        <w:rPr>
          <w:i/>
        </w:rPr>
        <w:tab/>
      </w:r>
      <w:r w:rsidRPr="00D62AE9">
        <w:rPr>
          <w:i/>
          <w:u w:val="single"/>
        </w:rPr>
        <w:t>(</w:t>
      </w:r>
      <w:r w:rsidR="00A24F9B" w:rsidRPr="00D62AE9">
        <w:rPr>
          <w:i/>
          <w:u w:val="single"/>
        </w:rPr>
        <w:t>24</w:t>
      </w:r>
      <w:r w:rsidR="003E14AA" w:rsidRPr="00D62AE9">
        <w:rPr>
          <w:i/>
          <w:u w:val="single"/>
        </w:rPr>
        <w:t>,000</w:t>
      </w:r>
      <w:r w:rsidRPr="00D62AE9">
        <w:rPr>
          <w:i/>
          <w:u w:val="single"/>
        </w:rPr>
        <w:t>)</w:t>
      </w:r>
    </w:p>
    <w:p w14:paraId="36AB2636" w14:textId="38FADC30" w:rsidR="00745022" w:rsidRPr="003E14AA" w:rsidRDefault="00745022" w:rsidP="008D3A69">
      <w:pPr>
        <w:ind w:left="1440"/>
        <w:outlineLvl w:val="0"/>
        <w:rPr>
          <w:i/>
        </w:rPr>
      </w:pPr>
      <w:r w:rsidRPr="003E14AA">
        <w:rPr>
          <w:i/>
        </w:rPr>
        <w:t xml:space="preserve">Taxable income </w:t>
      </w:r>
      <w:r w:rsidRPr="003E14AA">
        <w:rPr>
          <w:i/>
        </w:rPr>
        <w:tab/>
      </w:r>
      <w:r w:rsidRPr="003E14AA">
        <w:rPr>
          <w:i/>
        </w:rPr>
        <w:tab/>
      </w:r>
      <w:r w:rsidRPr="003E14AA">
        <w:rPr>
          <w:i/>
        </w:rPr>
        <w:tab/>
        <w:t>$</w:t>
      </w:r>
      <w:r w:rsidR="0051415F">
        <w:rPr>
          <w:i/>
        </w:rPr>
        <w:t>8</w:t>
      </w:r>
      <w:r w:rsidR="00A24F9B">
        <w:rPr>
          <w:i/>
        </w:rPr>
        <w:t>7</w:t>
      </w:r>
      <w:r w:rsidR="003E14AA" w:rsidRPr="003E14AA">
        <w:rPr>
          <w:i/>
        </w:rPr>
        <w:t>,</w:t>
      </w:r>
      <w:r w:rsidR="00A24F9B">
        <w:rPr>
          <w:i/>
        </w:rPr>
        <w:t>0</w:t>
      </w:r>
      <w:r w:rsidR="003E14AA" w:rsidRPr="003E14AA">
        <w:rPr>
          <w:i/>
        </w:rPr>
        <w:t>00</w:t>
      </w:r>
    </w:p>
    <w:p w14:paraId="5EE5BD22" w14:textId="77777777" w:rsidR="00745022" w:rsidRPr="003E14AA" w:rsidRDefault="00745022" w:rsidP="008D3A69">
      <w:pPr>
        <w:ind w:left="1440"/>
        <w:outlineLvl w:val="0"/>
        <w:rPr>
          <w:i/>
        </w:rPr>
      </w:pPr>
      <w:r w:rsidRPr="003E14AA">
        <w:rPr>
          <w:i/>
        </w:rPr>
        <w:t>Less preferentially taxed income</w:t>
      </w:r>
      <w:r w:rsidRPr="003E14AA">
        <w:rPr>
          <w:i/>
        </w:rPr>
        <w:tab/>
      </w:r>
      <w:r w:rsidRPr="003E14AA">
        <w:rPr>
          <w:i/>
          <w:u w:val="single"/>
        </w:rPr>
        <w:t xml:space="preserve">  (9,000)</w:t>
      </w:r>
    </w:p>
    <w:p w14:paraId="2E95A130" w14:textId="53717042" w:rsidR="00745022" w:rsidRPr="003E14AA" w:rsidRDefault="00745022" w:rsidP="008D3A69">
      <w:pPr>
        <w:ind w:left="1440"/>
        <w:outlineLvl w:val="0"/>
        <w:rPr>
          <w:i/>
        </w:rPr>
      </w:pPr>
      <w:r w:rsidRPr="003E14AA">
        <w:rPr>
          <w:i/>
        </w:rPr>
        <w:t xml:space="preserve">Income taxed at ordinary rates  </w:t>
      </w:r>
      <w:r w:rsidRPr="003E14AA">
        <w:rPr>
          <w:i/>
        </w:rPr>
        <w:tab/>
        <w:t>$</w:t>
      </w:r>
      <w:r w:rsidR="0051415F">
        <w:rPr>
          <w:i/>
        </w:rPr>
        <w:t>7</w:t>
      </w:r>
      <w:r w:rsidR="00A24F9B">
        <w:rPr>
          <w:i/>
        </w:rPr>
        <w:t>8</w:t>
      </w:r>
      <w:r w:rsidR="003E14AA" w:rsidRPr="003E14AA">
        <w:rPr>
          <w:i/>
        </w:rPr>
        <w:t>,</w:t>
      </w:r>
      <w:r w:rsidR="00A24F9B">
        <w:rPr>
          <w:i/>
        </w:rPr>
        <w:t>0</w:t>
      </w:r>
      <w:r w:rsidR="003E14AA" w:rsidRPr="003E14AA">
        <w:rPr>
          <w:i/>
        </w:rPr>
        <w:t>00</w:t>
      </w:r>
      <w:r w:rsidR="00DD5478" w:rsidRPr="003E14AA">
        <w:rPr>
          <w:i/>
        </w:rPr>
        <w:t xml:space="preserve"> </w:t>
      </w:r>
      <w:r w:rsidRPr="003E14AA">
        <w:rPr>
          <w:i/>
        </w:rPr>
        <w:sym w:font="Wingdings" w:char="F0E0"/>
      </w:r>
      <w:r w:rsidRPr="003E14AA">
        <w:rPr>
          <w:i/>
        </w:rPr>
        <w:t xml:space="preserve"> tax $</w:t>
      </w:r>
      <w:r w:rsidR="0051415F">
        <w:rPr>
          <w:i/>
        </w:rPr>
        <w:t>8,907</w:t>
      </w:r>
      <w:r w:rsidR="00DD5478" w:rsidRPr="003E14AA">
        <w:rPr>
          <w:i/>
        </w:rPr>
        <w:t xml:space="preserve"> </w:t>
      </w:r>
      <w:r w:rsidRPr="003E14AA">
        <w:rPr>
          <w:i/>
        </w:rPr>
        <w:t>+ $</w:t>
      </w:r>
      <w:r w:rsidR="0051415F">
        <w:rPr>
          <w:i/>
        </w:rPr>
        <w:t>132</w:t>
      </w:r>
      <w:r w:rsidR="003E14AA" w:rsidRPr="003E14AA">
        <w:rPr>
          <w:i/>
        </w:rPr>
        <w:t xml:space="preserve"> </w:t>
      </w:r>
      <w:r w:rsidRPr="003E14AA">
        <w:rPr>
          <w:i/>
        </w:rPr>
        <w:t>= $</w:t>
      </w:r>
      <w:r w:rsidR="0051415F">
        <w:rPr>
          <w:i/>
        </w:rPr>
        <w:t>9,039</w:t>
      </w:r>
    </w:p>
    <w:p w14:paraId="3D556E21" w14:textId="7139E57A" w:rsidR="00745022" w:rsidRPr="003E14AA" w:rsidRDefault="00745022" w:rsidP="008D3A69">
      <w:pPr>
        <w:ind w:left="1440"/>
        <w:outlineLvl w:val="0"/>
        <w:rPr>
          <w:i/>
        </w:rPr>
      </w:pPr>
      <w:r w:rsidRPr="003E14AA">
        <w:rPr>
          <w:i/>
        </w:rPr>
        <w:t>Income subject to capital gains rates</w:t>
      </w:r>
      <w:r w:rsidRPr="003E14AA">
        <w:rPr>
          <w:i/>
        </w:rPr>
        <w:tab/>
        <w:t xml:space="preserve">  </w:t>
      </w:r>
      <w:r w:rsidR="0056531F" w:rsidRPr="003E14AA">
        <w:rPr>
          <w:i/>
        </w:rPr>
        <w:t>$</w:t>
      </w:r>
      <w:r w:rsidRPr="003E14AA">
        <w:rPr>
          <w:i/>
        </w:rPr>
        <w:t xml:space="preserve">9,000 </w:t>
      </w:r>
      <w:r w:rsidRPr="003E14AA">
        <w:rPr>
          <w:i/>
        </w:rPr>
        <w:sym w:font="Wingdings" w:char="F0E0"/>
      </w:r>
      <w:r w:rsidRPr="003E14AA">
        <w:rPr>
          <w:i/>
        </w:rPr>
        <w:t xml:space="preserve"> tax</w:t>
      </w:r>
      <w:r w:rsidR="0056531F" w:rsidRPr="003E14AA">
        <w:rPr>
          <w:i/>
        </w:rPr>
        <w:t xml:space="preserve"> (</w:t>
      </w:r>
      <w:r w:rsidRPr="003E14AA">
        <w:rPr>
          <w:i/>
        </w:rPr>
        <w:t>$</w:t>
      </w:r>
      <w:r w:rsidR="0051415F">
        <w:rPr>
          <w:i/>
        </w:rPr>
        <w:t>9,000</w:t>
      </w:r>
      <w:r w:rsidR="00B27DE4" w:rsidRPr="003E14AA">
        <w:rPr>
          <w:i/>
        </w:rPr>
        <w:t xml:space="preserve"> × 15%) = $</w:t>
      </w:r>
      <w:r w:rsidR="0051415F">
        <w:rPr>
          <w:i/>
        </w:rPr>
        <w:t>1,350</w:t>
      </w:r>
    </w:p>
    <w:p w14:paraId="116EAA9A" w14:textId="77777777" w:rsidR="00745022" w:rsidRPr="003E14AA" w:rsidRDefault="00745022" w:rsidP="008D3A69">
      <w:pPr>
        <w:ind w:left="720"/>
        <w:outlineLvl w:val="0"/>
        <w:rPr>
          <w:i/>
        </w:rPr>
      </w:pPr>
    </w:p>
    <w:p w14:paraId="5D939BC7" w14:textId="6E73B86C" w:rsidR="00745022" w:rsidRDefault="00745022" w:rsidP="008D3A69">
      <w:pPr>
        <w:ind w:left="720" w:firstLine="720"/>
        <w:outlineLvl w:val="0"/>
        <w:rPr>
          <w:b/>
          <w:i/>
        </w:rPr>
      </w:pPr>
      <w:r w:rsidRPr="003E14AA">
        <w:rPr>
          <w:b/>
          <w:i/>
        </w:rPr>
        <w:t>Total tax liability = $</w:t>
      </w:r>
      <w:r w:rsidR="0051415F">
        <w:rPr>
          <w:b/>
          <w:i/>
        </w:rPr>
        <w:t>9,039</w:t>
      </w:r>
      <w:r w:rsidRPr="003E14AA">
        <w:rPr>
          <w:b/>
          <w:i/>
        </w:rPr>
        <w:t>+ $</w:t>
      </w:r>
      <w:r w:rsidR="0051415F">
        <w:rPr>
          <w:b/>
          <w:i/>
        </w:rPr>
        <w:t>1,350</w:t>
      </w:r>
      <w:r w:rsidR="003E14AA" w:rsidRPr="003E14AA">
        <w:rPr>
          <w:b/>
          <w:i/>
        </w:rPr>
        <w:t xml:space="preserve"> </w:t>
      </w:r>
      <w:r w:rsidRPr="003E14AA">
        <w:rPr>
          <w:b/>
          <w:i/>
        </w:rPr>
        <w:t>= $</w:t>
      </w:r>
      <w:r w:rsidR="0051415F">
        <w:rPr>
          <w:b/>
          <w:i/>
        </w:rPr>
        <w:t>10,389</w:t>
      </w:r>
    </w:p>
    <w:p w14:paraId="517CE56B" w14:textId="77777777" w:rsidR="0051415F" w:rsidRDefault="0051415F" w:rsidP="008D3A69">
      <w:pPr>
        <w:ind w:left="720" w:firstLine="720"/>
        <w:outlineLvl w:val="0"/>
        <w:rPr>
          <w:i/>
        </w:rPr>
      </w:pPr>
    </w:p>
    <w:p w14:paraId="3286B3F3" w14:textId="687703D7" w:rsidR="0051415F" w:rsidRPr="00D62AE9" w:rsidRDefault="0051415F" w:rsidP="0051415F">
      <w:pPr>
        <w:ind w:left="720"/>
        <w:outlineLvl w:val="0"/>
        <w:rPr>
          <w:i/>
        </w:rPr>
      </w:pPr>
      <w:r>
        <w:rPr>
          <w:i/>
        </w:rPr>
        <w:t xml:space="preserve">The Comer’s taxable income of $78,000 before capital gains is above the maximum zero </w:t>
      </w:r>
      <w:r w:rsidR="00143E27">
        <w:rPr>
          <w:i/>
        </w:rPr>
        <w:t>rate</w:t>
      </w:r>
      <w:r>
        <w:rPr>
          <w:i/>
        </w:rPr>
        <w:t xml:space="preserve"> amount of $77,200, so their capital gains are taxed at 15 percent.</w:t>
      </w:r>
    </w:p>
    <w:p w14:paraId="02CC063A" w14:textId="77777777" w:rsidR="00745022" w:rsidRPr="008D3A69" w:rsidRDefault="00745022" w:rsidP="00C04668">
      <w:pPr>
        <w:outlineLvl w:val="0"/>
        <w:rPr>
          <w:i/>
        </w:rPr>
      </w:pPr>
    </w:p>
    <w:p w14:paraId="681785E2" w14:textId="77777777" w:rsidR="00745022" w:rsidRDefault="00745022" w:rsidP="00C04668">
      <w:pPr>
        <w:outlineLvl w:val="0"/>
      </w:pPr>
    </w:p>
    <w:p w14:paraId="69780C63" w14:textId="77777777" w:rsidR="00745022" w:rsidRPr="008D3A69" w:rsidRDefault="00745022" w:rsidP="004C4692">
      <w:pPr>
        <w:numPr>
          <w:ilvl w:val="0"/>
          <w:numId w:val="11"/>
        </w:numPr>
        <w:ind w:left="1440"/>
        <w:outlineLvl w:val="0"/>
        <w:rPr>
          <w:i/>
        </w:rPr>
      </w:pPr>
      <w:r w:rsidRPr="008D3A69">
        <w:rPr>
          <w:i/>
        </w:rPr>
        <w:t>Short-term capital gains</w:t>
      </w:r>
      <w:r w:rsidRPr="008D3A69">
        <w:rPr>
          <w:i/>
        </w:rPr>
        <w:tab/>
        <w:t>$1,500</w:t>
      </w:r>
    </w:p>
    <w:p w14:paraId="3D802847" w14:textId="77777777" w:rsidR="00745022" w:rsidRDefault="00745022" w:rsidP="008D3A69">
      <w:pPr>
        <w:outlineLvl w:val="0"/>
        <w:rPr>
          <w:i/>
          <w:u w:val="single"/>
        </w:rPr>
      </w:pPr>
      <w:r w:rsidRPr="008D3A69">
        <w:rPr>
          <w:i/>
        </w:rPr>
        <w:tab/>
      </w:r>
      <w:r w:rsidRPr="008D3A69">
        <w:rPr>
          <w:i/>
        </w:rPr>
        <w:tab/>
        <w:t>Short-term capital losses</w:t>
      </w:r>
      <w:r w:rsidRPr="008D3A69">
        <w:rPr>
          <w:i/>
        </w:rPr>
        <w:tab/>
      </w:r>
      <w:r w:rsidRPr="009201CB">
        <w:rPr>
          <w:i/>
          <w:u w:val="single"/>
        </w:rPr>
        <w:t xml:space="preserve">       $0</w:t>
      </w:r>
    </w:p>
    <w:p w14:paraId="7895FE5C" w14:textId="77777777" w:rsidR="00745022" w:rsidRDefault="00745022" w:rsidP="008D3A69">
      <w:pPr>
        <w:outlineLvl w:val="0"/>
        <w:rPr>
          <w:i/>
        </w:rPr>
      </w:pPr>
      <w:r>
        <w:rPr>
          <w:i/>
        </w:rPr>
        <w:tab/>
      </w:r>
      <w:r>
        <w:rPr>
          <w:i/>
        </w:rPr>
        <w:tab/>
        <w:t xml:space="preserve">Net short-term capital gain </w:t>
      </w:r>
      <w:r>
        <w:rPr>
          <w:i/>
        </w:rPr>
        <w:tab/>
        <w:t xml:space="preserve"> $1,500</w:t>
      </w:r>
    </w:p>
    <w:p w14:paraId="2D4C1612" w14:textId="77777777" w:rsidR="00745022" w:rsidRPr="009201CB" w:rsidRDefault="00745022" w:rsidP="008D3A69">
      <w:pPr>
        <w:outlineLvl w:val="0"/>
        <w:rPr>
          <w:i/>
        </w:rPr>
      </w:pPr>
    </w:p>
    <w:p w14:paraId="5AF773C0" w14:textId="2F1C56CB" w:rsidR="00745022" w:rsidRPr="008D3A69" w:rsidRDefault="00745022" w:rsidP="008D3A69">
      <w:pPr>
        <w:outlineLvl w:val="0"/>
        <w:rPr>
          <w:i/>
        </w:rPr>
      </w:pPr>
      <w:r w:rsidRPr="008D3A69">
        <w:rPr>
          <w:i/>
        </w:rPr>
        <w:tab/>
      </w:r>
      <w:r w:rsidRPr="008D3A69">
        <w:rPr>
          <w:i/>
        </w:rPr>
        <w:tab/>
        <w:t>Long-term capital gains</w:t>
      </w:r>
      <w:r w:rsidRPr="008D3A69">
        <w:rPr>
          <w:i/>
        </w:rPr>
        <w:tab/>
        <w:t>$</w:t>
      </w:r>
      <w:r>
        <w:rPr>
          <w:i/>
        </w:rPr>
        <w:t>1</w:t>
      </w:r>
      <w:r w:rsidR="00B27DE4">
        <w:rPr>
          <w:i/>
        </w:rPr>
        <w:t>3</w:t>
      </w:r>
      <w:r>
        <w:rPr>
          <w:i/>
        </w:rPr>
        <w:t>,000</w:t>
      </w:r>
    </w:p>
    <w:p w14:paraId="622063F7" w14:textId="77777777" w:rsidR="00745022" w:rsidRDefault="00745022" w:rsidP="008D3A69">
      <w:pPr>
        <w:outlineLvl w:val="0"/>
        <w:rPr>
          <w:i/>
          <w:u w:val="single"/>
        </w:rPr>
      </w:pPr>
      <w:r>
        <w:rPr>
          <w:i/>
        </w:rPr>
        <w:tab/>
      </w:r>
      <w:r>
        <w:rPr>
          <w:i/>
        </w:rPr>
        <w:tab/>
        <w:t xml:space="preserve">Long-term capital losses       </w:t>
      </w:r>
      <w:r w:rsidRPr="009201CB">
        <w:rPr>
          <w:i/>
          <w:u w:val="single"/>
        </w:rPr>
        <w:t>($10,000)</w:t>
      </w:r>
    </w:p>
    <w:p w14:paraId="0FA7E50F" w14:textId="6D3A7173" w:rsidR="00745022" w:rsidRDefault="00745022" w:rsidP="008D3A69">
      <w:pPr>
        <w:outlineLvl w:val="0"/>
        <w:rPr>
          <w:i/>
          <w:u w:val="single"/>
        </w:rPr>
      </w:pPr>
      <w:r>
        <w:rPr>
          <w:i/>
        </w:rPr>
        <w:tab/>
      </w:r>
      <w:r>
        <w:rPr>
          <w:i/>
        </w:rPr>
        <w:tab/>
        <w:t xml:space="preserve">Net long-term capital </w:t>
      </w:r>
      <w:r>
        <w:rPr>
          <w:i/>
        </w:rPr>
        <w:tab/>
        <w:t>gains</w:t>
      </w:r>
      <w:r>
        <w:rPr>
          <w:i/>
        </w:rPr>
        <w:tab/>
      </w:r>
      <w:r w:rsidRPr="001E480F">
        <w:rPr>
          <w:i/>
        </w:rPr>
        <w:t>$</w:t>
      </w:r>
      <w:r w:rsidR="00B27DE4">
        <w:rPr>
          <w:i/>
        </w:rPr>
        <w:t>3</w:t>
      </w:r>
      <w:r w:rsidRPr="001E480F">
        <w:rPr>
          <w:i/>
        </w:rPr>
        <w:t>,000</w:t>
      </w:r>
    </w:p>
    <w:p w14:paraId="3FFB3D74" w14:textId="6001F307" w:rsidR="00745022" w:rsidRPr="008D3A69" w:rsidRDefault="00745022" w:rsidP="008D3A69">
      <w:pPr>
        <w:outlineLvl w:val="0"/>
        <w:rPr>
          <w:i/>
        </w:rPr>
      </w:pPr>
      <w:r>
        <w:rPr>
          <w:i/>
        </w:rPr>
        <w:tab/>
      </w:r>
      <w:r>
        <w:rPr>
          <w:i/>
        </w:rPr>
        <w:tab/>
      </w:r>
    </w:p>
    <w:p w14:paraId="24715F10" w14:textId="38DB2BA5" w:rsidR="00745022" w:rsidRPr="008D3A69" w:rsidRDefault="00745022" w:rsidP="008D3A69">
      <w:pPr>
        <w:ind w:left="1440"/>
        <w:outlineLvl w:val="0"/>
        <w:rPr>
          <w:i/>
        </w:rPr>
      </w:pPr>
      <w:r w:rsidRPr="008D3A69">
        <w:rPr>
          <w:i/>
        </w:rPr>
        <w:t xml:space="preserve">Salary </w:t>
      </w:r>
      <w:r w:rsidRPr="008D3A69">
        <w:rPr>
          <w:i/>
        </w:rPr>
        <w:tab/>
      </w:r>
      <w:r w:rsidRPr="008D3A69">
        <w:rPr>
          <w:i/>
        </w:rPr>
        <w:tab/>
      </w:r>
      <w:r w:rsidRPr="008D3A69">
        <w:rPr>
          <w:i/>
        </w:rPr>
        <w:tab/>
      </w:r>
      <w:r w:rsidRPr="008D3A69">
        <w:rPr>
          <w:i/>
        </w:rPr>
        <w:tab/>
      </w:r>
      <w:r>
        <w:rPr>
          <w:i/>
        </w:rPr>
        <w:tab/>
      </w:r>
      <w:r w:rsidRPr="008D3A69">
        <w:rPr>
          <w:i/>
        </w:rPr>
        <w:t>$</w:t>
      </w:r>
      <w:r w:rsidR="0051415F">
        <w:rPr>
          <w:i/>
        </w:rPr>
        <w:t>9</w:t>
      </w:r>
      <w:r w:rsidR="00B27DE4">
        <w:rPr>
          <w:i/>
        </w:rPr>
        <w:t>5</w:t>
      </w:r>
      <w:r w:rsidRPr="008D3A69">
        <w:rPr>
          <w:i/>
        </w:rPr>
        <w:t>,000</w:t>
      </w:r>
    </w:p>
    <w:p w14:paraId="2C58AD13" w14:textId="2845821C" w:rsidR="00745022" w:rsidRPr="003E14AA" w:rsidRDefault="00745022" w:rsidP="008D3A69">
      <w:pPr>
        <w:ind w:left="1440"/>
        <w:outlineLvl w:val="0"/>
        <w:rPr>
          <w:i/>
        </w:rPr>
      </w:pPr>
      <w:r w:rsidRPr="008D3A69">
        <w:rPr>
          <w:i/>
        </w:rPr>
        <w:t xml:space="preserve">Long-term capital </w:t>
      </w:r>
      <w:r w:rsidRPr="003E14AA">
        <w:rPr>
          <w:i/>
        </w:rPr>
        <w:t>gains</w:t>
      </w:r>
      <w:r w:rsidRPr="003E14AA">
        <w:rPr>
          <w:i/>
        </w:rPr>
        <w:tab/>
        <w:t xml:space="preserve">  </w:t>
      </w:r>
      <w:r w:rsidRPr="003E14AA">
        <w:rPr>
          <w:i/>
        </w:rPr>
        <w:tab/>
        <w:t xml:space="preserve">    </w:t>
      </w:r>
      <w:r w:rsidR="00B27DE4" w:rsidRPr="003E14AA">
        <w:rPr>
          <w:i/>
        </w:rPr>
        <w:t>3</w:t>
      </w:r>
      <w:r w:rsidRPr="003E14AA">
        <w:rPr>
          <w:i/>
        </w:rPr>
        <w:t>,000</w:t>
      </w:r>
    </w:p>
    <w:p w14:paraId="60F47795" w14:textId="77777777" w:rsidR="00745022" w:rsidRPr="003E14AA" w:rsidRDefault="00745022" w:rsidP="008D3A69">
      <w:pPr>
        <w:ind w:left="1440"/>
        <w:outlineLvl w:val="0"/>
        <w:rPr>
          <w:i/>
        </w:rPr>
      </w:pPr>
      <w:r w:rsidRPr="003E14AA">
        <w:rPr>
          <w:i/>
        </w:rPr>
        <w:t>Short-term capital gains</w:t>
      </w:r>
      <w:r w:rsidRPr="003E14AA">
        <w:rPr>
          <w:i/>
        </w:rPr>
        <w:tab/>
      </w:r>
      <w:r w:rsidRPr="003E14AA">
        <w:rPr>
          <w:i/>
        </w:rPr>
        <w:tab/>
      </w:r>
      <w:r w:rsidRPr="003E14AA">
        <w:rPr>
          <w:i/>
          <w:u w:val="single"/>
        </w:rPr>
        <w:t xml:space="preserve">    1,500</w:t>
      </w:r>
    </w:p>
    <w:p w14:paraId="1D9C8C7D" w14:textId="4B2618EE" w:rsidR="00745022" w:rsidRPr="003E14AA" w:rsidRDefault="00745022" w:rsidP="008D3A69">
      <w:pPr>
        <w:ind w:left="1440"/>
        <w:outlineLvl w:val="0"/>
        <w:rPr>
          <w:i/>
        </w:rPr>
      </w:pPr>
      <w:r w:rsidRPr="003E14AA">
        <w:rPr>
          <w:i/>
        </w:rPr>
        <w:t>AGI</w:t>
      </w:r>
      <w:r w:rsidRPr="003E14AA">
        <w:rPr>
          <w:i/>
        </w:rPr>
        <w:tab/>
      </w:r>
      <w:r w:rsidRPr="003E14AA">
        <w:rPr>
          <w:i/>
        </w:rPr>
        <w:tab/>
      </w:r>
      <w:r w:rsidRPr="003E14AA">
        <w:rPr>
          <w:i/>
        </w:rPr>
        <w:tab/>
      </w:r>
      <w:r w:rsidRPr="003E14AA">
        <w:rPr>
          <w:i/>
        </w:rPr>
        <w:tab/>
      </w:r>
      <w:r w:rsidRPr="003E14AA">
        <w:rPr>
          <w:i/>
        </w:rPr>
        <w:tab/>
        <w:t>$</w:t>
      </w:r>
      <w:r w:rsidR="0051415F">
        <w:rPr>
          <w:i/>
        </w:rPr>
        <w:t>9</w:t>
      </w:r>
      <w:r w:rsidR="004F526C" w:rsidRPr="003E14AA">
        <w:rPr>
          <w:i/>
        </w:rPr>
        <w:t>9</w:t>
      </w:r>
      <w:r w:rsidRPr="003E14AA">
        <w:rPr>
          <w:i/>
        </w:rPr>
        <w:t>,500</w:t>
      </w:r>
    </w:p>
    <w:p w14:paraId="19C64678" w14:textId="672FFDAC" w:rsidR="00745022" w:rsidRPr="003E14AA" w:rsidRDefault="00745022" w:rsidP="008D3A69">
      <w:pPr>
        <w:ind w:left="1440"/>
        <w:outlineLvl w:val="0"/>
        <w:rPr>
          <w:i/>
        </w:rPr>
      </w:pPr>
      <w:r w:rsidRPr="003E14AA">
        <w:rPr>
          <w:i/>
        </w:rPr>
        <w:t>Standard deduction</w:t>
      </w:r>
      <w:r w:rsidRPr="003E14AA">
        <w:rPr>
          <w:i/>
        </w:rPr>
        <w:tab/>
      </w:r>
      <w:r w:rsidRPr="003E14AA">
        <w:rPr>
          <w:i/>
        </w:rPr>
        <w:tab/>
      </w:r>
      <w:r w:rsidRPr="003E14AA">
        <w:rPr>
          <w:i/>
        </w:rPr>
        <w:tab/>
      </w:r>
      <w:r w:rsidRPr="00D62AE9">
        <w:rPr>
          <w:i/>
          <w:u w:val="single"/>
        </w:rPr>
        <w:t>(</w:t>
      </w:r>
      <w:r w:rsidR="0051415F" w:rsidRPr="00D62AE9">
        <w:rPr>
          <w:i/>
          <w:u w:val="single"/>
        </w:rPr>
        <w:t>24</w:t>
      </w:r>
      <w:r w:rsidR="003E14AA" w:rsidRPr="00D62AE9">
        <w:rPr>
          <w:i/>
          <w:u w:val="single"/>
        </w:rPr>
        <w:t>,000</w:t>
      </w:r>
      <w:r w:rsidRPr="00D62AE9">
        <w:rPr>
          <w:i/>
          <w:u w:val="single"/>
        </w:rPr>
        <w:t>)</w:t>
      </w:r>
    </w:p>
    <w:p w14:paraId="5BF1888E" w14:textId="7CE587BA" w:rsidR="00745022" w:rsidRPr="003E14AA" w:rsidRDefault="00745022" w:rsidP="008D3A69">
      <w:pPr>
        <w:ind w:left="1440"/>
        <w:outlineLvl w:val="0"/>
        <w:rPr>
          <w:i/>
        </w:rPr>
      </w:pPr>
      <w:r w:rsidRPr="003E14AA">
        <w:rPr>
          <w:i/>
        </w:rPr>
        <w:t xml:space="preserve">Taxable income </w:t>
      </w:r>
      <w:r w:rsidRPr="003E14AA">
        <w:rPr>
          <w:i/>
        </w:rPr>
        <w:tab/>
      </w:r>
      <w:r w:rsidRPr="003E14AA">
        <w:rPr>
          <w:i/>
        </w:rPr>
        <w:tab/>
      </w:r>
      <w:r w:rsidRPr="003E14AA">
        <w:rPr>
          <w:i/>
        </w:rPr>
        <w:tab/>
        <w:t>$</w:t>
      </w:r>
      <w:r w:rsidR="0051415F">
        <w:rPr>
          <w:i/>
        </w:rPr>
        <w:t>75,5</w:t>
      </w:r>
      <w:r w:rsidR="003E14AA" w:rsidRPr="003E14AA">
        <w:rPr>
          <w:i/>
        </w:rPr>
        <w:t>00</w:t>
      </w:r>
    </w:p>
    <w:p w14:paraId="5C108E12" w14:textId="1A094C6C" w:rsidR="00745022" w:rsidRPr="003E14AA" w:rsidRDefault="00745022" w:rsidP="00A73A2D">
      <w:pPr>
        <w:ind w:left="1440"/>
        <w:outlineLvl w:val="0"/>
        <w:rPr>
          <w:i/>
          <w:u w:val="single"/>
        </w:rPr>
      </w:pPr>
      <w:r w:rsidRPr="003E14AA">
        <w:rPr>
          <w:i/>
        </w:rPr>
        <w:t>Less preferentially taxed income</w:t>
      </w:r>
      <w:r w:rsidRPr="003E14AA">
        <w:rPr>
          <w:i/>
        </w:rPr>
        <w:tab/>
      </w:r>
      <w:r w:rsidRPr="003E14AA">
        <w:rPr>
          <w:i/>
          <w:u w:val="single"/>
        </w:rPr>
        <w:t xml:space="preserve">  (</w:t>
      </w:r>
      <w:r w:rsidR="00B27DE4" w:rsidRPr="003E14AA">
        <w:rPr>
          <w:i/>
          <w:u w:val="single"/>
        </w:rPr>
        <w:t>3</w:t>
      </w:r>
      <w:r w:rsidRPr="003E14AA">
        <w:rPr>
          <w:i/>
          <w:u w:val="single"/>
        </w:rPr>
        <w:t>,000)</w:t>
      </w:r>
    </w:p>
    <w:p w14:paraId="02272441" w14:textId="374546BE" w:rsidR="00745022" w:rsidRPr="003E14AA" w:rsidRDefault="00745022" w:rsidP="00A73A2D">
      <w:pPr>
        <w:ind w:left="1440"/>
        <w:outlineLvl w:val="0"/>
        <w:rPr>
          <w:i/>
        </w:rPr>
      </w:pPr>
      <w:r w:rsidRPr="003E14AA">
        <w:rPr>
          <w:i/>
        </w:rPr>
        <w:t xml:space="preserve">Income taxed at ordinary rates  </w:t>
      </w:r>
      <w:r w:rsidRPr="003E14AA">
        <w:rPr>
          <w:i/>
        </w:rPr>
        <w:tab/>
        <w:t>$</w:t>
      </w:r>
      <w:r w:rsidR="0051415F">
        <w:rPr>
          <w:i/>
        </w:rPr>
        <w:t>72,5</w:t>
      </w:r>
      <w:r w:rsidR="003E14AA" w:rsidRPr="003E14AA">
        <w:rPr>
          <w:i/>
        </w:rPr>
        <w:t xml:space="preserve">00 </w:t>
      </w:r>
      <w:r w:rsidRPr="003E14AA">
        <w:rPr>
          <w:i/>
        </w:rPr>
        <w:sym w:font="Wingdings" w:char="F0E0"/>
      </w:r>
      <w:r w:rsidRPr="003E14AA">
        <w:rPr>
          <w:i/>
        </w:rPr>
        <w:t xml:space="preserve"> tax $1,</w:t>
      </w:r>
      <w:r w:rsidR="003E14AA" w:rsidRPr="003E14AA">
        <w:rPr>
          <w:i/>
        </w:rPr>
        <w:t xml:space="preserve">905 </w:t>
      </w:r>
      <w:r w:rsidRPr="003E3DAE">
        <w:rPr>
          <w:i/>
        </w:rPr>
        <w:t>+ $</w:t>
      </w:r>
      <w:r w:rsidR="003E14AA" w:rsidRPr="003E14AA">
        <w:rPr>
          <w:i/>
        </w:rPr>
        <w:t>6,</w:t>
      </w:r>
      <w:r w:rsidR="0051415F">
        <w:rPr>
          <w:i/>
        </w:rPr>
        <w:t>414</w:t>
      </w:r>
      <w:r w:rsidR="00C7034D" w:rsidRPr="003E14AA">
        <w:rPr>
          <w:i/>
        </w:rPr>
        <w:t xml:space="preserve"> </w:t>
      </w:r>
      <w:r w:rsidR="0056531F" w:rsidRPr="003E3DAE">
        <w:rPr>
          <w:i/>
        </w:rPr>
        <w:t xml:space="preserve">= </w:t>
      </w:r>
      <w:r w:rsidRPr="006B18B3">
        <w:rPr>
          <w:i/>
        </w:rPr>
        <w:t>$</w:t>
      </w:r>
      <w:r w:rsidR="004F526C" w:rsidRPr="006B18B3">
        <w:rPr>
          <w:i/>
        </w:rPr>
        <w:t>8,</w:t>
      </w:r>
      <w:r w:rsidR="0051415F">
        <w:rPr>
          <w:i/>
        </w:rPr>
        <w:t>319</w:t>
      </w:r>
    </w:p>
    <w:p w14:paraId="32A691AE" w14:textId="26CBB8DD" w:rsidR="00745022" w:rsidRPr="003E14AA" w:rsidRDefault="00745022" w:rsidP="00A73A2D">
      <w:pPr>
        <w:ind w:left="1440"/>
        <w:outlineLvl w:val="0"/>
        <w:rPr>
          <w:i/>
        </w:rPr>
      </w:pPr>
      <w:r w:rsidRPr="003E14AA">
        <w:rPr>
          <w:i/>
        </w:rPr>
        <w:t>Income subject to capital gains rates</w:t>
      </w:r>
      <w:r w:rsidRPr="003E14AA">
        <w:rPr>
          <w:i/>
        </w:rPr>
        <w:tab/>
        <w:t xml:space="preserve">   </w:t>
      </w:r>
      <w:r w:rsidR="00243B7C" w:rsidRPr="003E14AA">
        <w:rPr>
          <w:i/>
        </w:rPr>
        <w:t>$</w:t>
      </w:r>
      <w:r w:rsidR="004F526C" w:rsidRPr="003E14AA">
        <w:rPr>
          <w:i/>
        </w:rPr>
        <w:t>3</w:t>
      </w:r>
      <w:r w:rsidRPr="003E14AA">
        <w:rPr>
          <w:i/>
        </w:rPr>
        <w:t xml:space="preserve">,000 </w:t>
      </w:r>
      <w:r w:rsidRPr="003E14AA">
        <w:rPr>
          <w:i/>
        </w:rPr>
        <w:sym w:font="Wingdings" w:char="F0E0"/>
      </w:r>
      <w:r w:rsidRPr="003E14AA">
        <w:rPr>
          <w:i/>
        </w:rPr>
        <w:t xml:space="preserve"> tax ($</w:t>
      </w:r>
      <w:r w:rsidR="004F526C" w:rsidRPr="003E3DAE">
        <w:rPr>
          <w:i/>
        </w:rPr>
        <w:t>3</w:t>
      </w:r>
      <w:r w:rsidRPr="006B18B3">
        <w:rPr>
          <w:i/>
        </w:rPr>
        <w:t xml:space="preserve">,000 </w:t>
      </w:r>
      <w:r w:rsidR="00AB5497" w:rsidRPr="006B18B3">
        <w:rPr>
          <w:i/>
        </w:rPr>
        <w:t>×</w:t>
      </w:r>
      <w:r w:rsidRPr="006B18B3">
        <w:rPr>
          <w:i/>
        </w:rPr>
        <w:t>0%) = $</w:t>
      </w:r>
      <w:r w:rsidRPr="003E14AA">
        <w:rPr>
          <w:i/>
        </w:rPr>
        <w:t>0</w:t>
      </w:r>
    </w:p>
    <w:p w14:paraId="3B2F7F4E" w14:textId="77777777" w:rsidR="00745022" w:rsidRPr="003E14AA" w:rsidRDefault="00745022" w:rsidP="00A73A2D">
      <w:pPr>
        <w:ind w:left="720"/>
        <w:outlineLvl w:val="0"/>
        <w:rPr>
          <w:i/>
        </w:rPr>
      </w:pPr>
    </w:p>
    <w:p w14:paraId="28339B92" w14:textId="63AE3E83" w:rsidR="00745022" w:rsidRPr="006514E6" w:rsidRDefault="00745022" w:rsidP="00A73A2D">
      <w:pPr>
        <w:ind w:left="720" w:firstLine="720"/>
        <w:outlineLvl w:val="0"/>
        <w:rPr>
          <w:b/>
          <w:i/>
        </w:rPr>
      </w:pPr>
      <w:r w:rsidRPr="003E14AA">
        <w:rPr>
          <w:b/>
          <w:i/>
        </w:rPr>
        <w:t>Total tax liability = $</w:t>
      </w:r>
      <w:r w:rsidR="004F526C" w:rsidRPr="003E3DAE">
        <w:rPr>
          <w:b/>
          <w:i/>
        </w:rPr>
        <w:t>8,</w:t>
      </w:r>
      <w:r w:rsidR="0051415F">
        <w:rPr>
          <w:b/>
          <w:i/>
        </w:rPr>
        <w:t>319</w:t>
      </w:r>
      <w:r w:rsidR="003E14AA" w:rsidRPr="003E14AA">
        <w:rPr>
          <w:b/>
          <w:i/>
        </w:rPr>
        <w:t xml:space="preserve"> </w:t>
      </w:r>
      <w:r w:rsidRPr="003E3DAE">
        <w:rPr>
          <w:b/>
          <w:i/>
        </w:rPr>
        <w:t>+ $0 = $</w:t>
      </w:r>
      <w:r w:rsidR="004F526C" w:rsidRPr="006B18B3">
        <w:rPr>
          <w:b/>
          <w:i/>
        </w:rPr>
        <w:t>8,</w:t>
      </w:r>
      <w:r w:rsidR="00583E9C">
        <w:rPr>
          <w:b/>
          <w:i/>
        </w:rPr>
        <w:t>319</w:t>
      </w:r>
    </w:p>
    <w:p w14:paraId="5EE3E769" w14:textId="67DB3B28" w:rsidR="00745022" w:rsidRDefault="00745022" w:rsidP="00C04668">
      <w:pPr>
        <w:ind w:left="477" w:hanging="477"/>
        <w:outlineLvl w:val="0"/>
      </w:pPr>
    </w:p>
    <w:p w14:paraId="5FA9D852" w14:textId="2EA1228C" w:rsidR="0051415F" w:rsidRPr="00EC16C8" w:rsidRDefault="0051415F" w:rsidP="0051415F">
      <w:pPr>
        <w:ind w:left="720"/>
        <w:outlineLvl w:val="0"/>
        <w:rPr>
          <w:i/>
        </w:rPr>
      </w:pPr>
      <w:r>
        <w:rPr>
          <w:i/>
        </w:rPr>
        <w:t xml:space="preserve">The Comer’s taxable income of $72,500 before capital gains is below the maximum zero </w:t>
      </w:r>
      <w:r w:rsidR="00143E27">
        <w:rPr>
          <w:i/>
        </w:rPr>
        <w:t>rate</w:t>
      </w:r>
      <w:r>
        <w:rPr>
          <w:i/>
        </w:rPr>
        <w:t xml:space="preserve"> amount of $77,200 by $4,700. As a result, their $3,000 is taxed at zero percent. If the capital gains had been greater than $4,700, the first $4,700 would be taxed at zero percent and the remainder at 15 percent.</w:t>
      </w:r>
    </w:p>
    <w:p w14:paraId="607959E0" w14:textId="77777777" w:rsidR="0051415F" w:rsidRDefault="0051415F" w:rsidP="00C04668">
      <w:pPr>
        <w:ind w:left="477" w:hanging="477"/>
        <w:outlineLvl w:val="0"/>
      </w:pPr>
    </w:p>
    <w:p w14:paraId="683189E6" w14:textId="6CF1B5E9" w:rsidR="00745022" w:rsidRDefault="00745022" w:rsidP="00C04668">
      <w:pPr>
        <w:numPr>
          <w:ilvl w:val="0"/>
          <w:numId w:val="1"/>
        </w:numPr>
        <w:outlineLvl w:val="0"/>
      </w:pPr>
      <w:r>
        <w:t xml:space="preserve">[LO 2] Grayson is in the </w:t>
      </w:r>
      <w:r w:rsidR="0051415F">
        <w:t xml:space="preserve">24 </w:t>
      </w:r>
      <w:r>
        <w:t xml:space="preserve">percent tax rate bracket and has the sold the following stocks in </w:t>
      </w:r>
      <w:r w:rsidR="004F526C">
        <w:t>201</w:t>
      </w:r>
      <w:r w:rsidR="007A1C9F">
        <w:t>8</w:t>
      </w:r>
      <w:r>
        <w:t>:</w:t>
      </w:r>
    </w:p>
    <w:p w14:paraId="4F8425D4" w14:textId="77777777" w:rsidR="00745022" w:rsidRDefault="00745022" w:rsidP="00C04668"/>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1994"/>
        <w:gridCol w:w="1065"/>
        <w:gridCol w:w="1900"/>
        <w:gridCol w:w="1840"/>
      </w:tblGrid>
      <w:tr w:rsidR="00745022" w14:paraId="6B19C7DF" w14:textId="77777777" w:rsidTr="006A0C63">
        <w:trPr>
          <w:trHeight w:val="140"/>
        </w:trPr>
        <w:tc>
          <w:tcPr>
            <w:tcW w:w="1116" w:type="dxa"/>
          </w:tcPr>
          <w:p w14:paraId="1BAC17BA" w14:textId="77777777" w:rsidR="00745022" w:rsidRDefault="00745022" w:rsidP="00B33EBC"/>
        </w:tc>
        <w:tc>
          <w:tcPr>
            <w:tcW w:w="1836" w:type="dxa"/>
          </w:tcPr>
          <w:p w14:paraId="3416E8A7" w14:textId="77777777" w:rsidR="00745022" w:rsidRDefault="00745022" w:rsidP="00B33EBC">
            <w:pPr>
              <w:jc w:val="center"/>
            </w:pPr>
            <w:r>
              <w:t>Date Purchased</w:t>
            </w:r>
          </w:p>
        </w:tc>
        <w:tc>
          <w:tcPr>
            <w:tcW w:w="1116" w:type="dxa"/>
          </w:tcPr>
          <w:p w14:paraId="6DE81D57" w14:textId="77777777" w:rsidR="00745022" w:rsidRDefault="00745022" w:rsidP="00B33EBC">
            <w:pPr>
              <w:jc w:val="center"/>
            </w:pPr>
            <w:r>
              <w:t>Basis</w:t>
            </w:r>
          </w:p>
        </w:tc>
        <w:tc>
          <w:tcPr>
            <w:tcW w:w="1430" w:type="dxa"/>
          </w:tcPr>
          <w:p w14:paraId="7CBA882A" w14:textId="77777777" w:rsidR="00745022" w:rsidRDefault="00745022" w:rsidP="00B33EBC">
            <w:pPr>
              <w:jc w:val="center"/>
            </w:pPr>
            <w:r>
              <w:t>Date Sold</w:t>
            </w:r>
          </w:p>
        </w:tc>
        <w:tc>
          <w:tcPr>
            <w:tcW w:w="2023" w:type="dxa"/>
          </w:tcPr>
          <w:p w14:paraId="1B06B350" w14:textId="77777777" w:rsidR="00745022" w:rsidRDefault="00745022" w:rsidP="00B33EBC">
            <w:pPr>
              <w:jc w:val="center"/>
            </w:pPr>
            <w:r>
              <w:t>Amount Realized</w:t>
            </w:r>
          </w:p>
        </w:tc>
      </w:tr>
      <w:tr w:rsidR="00745022" w14:paraId="05608A2E" w14:textId="77777777" w:rsidTr="006A0C63">
        <w:trPr>
          <w:trHeight w:val="140"/>
        </w:trPr>
        <w:tc>
          <w:tcPr>
            <w:tcW w:w="1116" w:type="dxa"/>
          </w:tcPr>
          <w:p w14:paraId="57159E9C" w14:textId="77777777" w:rsidR="00745022" w:rsidRDefault="00745022" w:rsidP="00B33EBC">
            <w:r>
              <w:t>Stock A</w:t>
            </w:r>
          </w:p>
        </w:tc>
        <w:tc>
          <w:tcPr>
            <w:tcW w:w="1836" w:type="dxa"/>
          </w:tcPr>
          <w:p w14:paraId="7372B663" w14:textId="1FD0748C" w:rsidR="00745022" w:rsidRDefault="00745022" w:rsidP="00FA6CBC">
            <w:pPr>
              <w:ind w:right="324"/>
              <w:jc w:val="right"/>
            </w:pPr>
            <w:r>
              <w:t>1/23/</w:t>
            </w:r>
            <w:r w:rsidR="0024700C">
              <w:t>1994</w:t>
            </w:r>
          </w:p>
        </w:tc>
        <w:tc>
          <w:tcPr>
            <w:tcW w:w="1116" w:type="dxa"/>
          </w:tcPr>
          <w:p w14:paraId="12CBED80" w14:textId="77777777" w:rsidR="00745022" w:rsidRDefault="00745022" w:rsidP="00B33EBC">
            <w:pPr>
              <w:ind w:right="80"/>
              <w:jc w:val="right"/>
            </w:pPr>
            <w:r>
              <w:t>$7,250</w:t>
            </w:r>
          </w:p>
        </w:tc>
        <w:tc>
          <w:tcPr>
            <w:tcW w:w="1430" w:type="dxa"/>
          </w:tcPr>
          <w:p w14:paraId="346312F4" w14:textId="1B13DE40" w:rsidR="00745022" w:rsidRDefault="00745022" w:rsidP="004F526C">
            <w:pPr>
              <w:ind w:right="110"/>
              <w:jc w:val="right"/>
            </w:pPr>
            <w:r>
              <w:t>7/22/</w:t>
            </w:r>
            <w:r w:rsidR="0024700C">
              <w:t>2018</w:t>
            </w:r>
          </w:p>
        </w:tc>
        <w:tc>
          <w:tcPr>
            <w:tcW w:w="2023" w:type="dxa"/>
          </w:tcPr>
          <w:p w14:paraId="57DAF11B" w14:textId="77777777" w:rsidR="00745022" w:rsidRDefault="00745022" w:rsidP="00B33EBC">
            <w:pPr>
              <w:ind w:right="573"/>
              <w:jc w:val="right"/>
            </w:pPr>
            <w:r>
              <w:t>$4,500</w:t>
            </w:r>
          </w:p>
        </w:tc>
      </w:tr>
      <w:tr w:rsidR="00745022" w14:paraId="5F16CAF4" w14:textId="77777777" w:rsidTr="006A0C63">
        <w:tc>
          <w:tcPr>
            <w:tcW w:w="1116" w:type="dxa"/>
          </w:tcPr>
          <w:p w14:paraId="63A1B35E" w14:textId="77777777" w:rsidR="00745022" w:rsidRDefault="00745022" w:rsidP="00B33EBC">
            <w:r>
              <w:t>Stock B</w:t>
            </w:r>
          </w:p>
        </w:tc>
        <w:tc>
          <w:tcPr>
            <w:tcW w:w="1836" w:type="dxa"/>
          </w:tcPr>
          <w:p w14:paraId="4D6B00E1" w14:textId="5493F503" w:rsidR="00745022" w:rsidRDefault="00745022" w:rsidP="004F526C">
            <w:pPr>
              <w:ind w:right="324"/>
              <w:jc w:val="right"/>
            </w:pPr>
            <w:r>
              <w:t>4/10/</w:t>
            </w:r>
            <w:r w:rsidR="0024700C">
              <w:t>2018</w:t>
            </w:r>
          </w:p>
        </w:tc>
        <w:tc>
          <w:tcPr>
            <w:tcW w:w="1116" w:type="dxa"/>
          </w:tcPr>
          <w:p w14:paraId="1D0D8883" w14:textId="77777777" w:rsidR="00745022" w:rsidRDefault="00745022" w:rsidP="00B33EBC">
            <w:pPr>
              <w:ind w:right="80"/>
              <w:jc w:val="right"/>
            </w:pPr>
            <w:r>
              <w:t>14,000</w:t>
            </w:r>
          </w:p>
        </w:tc>
        <w:tc>
          <w:tcPr>
            <w:tcW w:w="1430" w:type="dxa"/>
          </w:tcPr>
          <w:p w14:paraId="2B3ADC16" w14:textId="4B2B5785" w:rsidR="00745022" w:rsidRDefault="00745022" w:rsidP="001F772C">
            <w:pPr>
              <w:ind w:right="110"/>
              <w:jc w:val="right"/>
            </w:pPr>
            <w:r>
              <w:t>9/13/</w:t>
            </w:r>
            <w:r w:rsidR="0024700C">
              <w:t>2018</w:t>
            </w:r>
          </w:p>
        </w:tc>
        <w:tc>
          <w:tcPr>
            <w:tcW w:w="2023" w:type="dxa"/>
          </w:tcPr>
          <w:p w14:paraId="0C1A114F" w14:textId="77777777" w:rsidR="00745022" w:rsidRDefault="00745022" w:rsidP="00B33EBC">
            <w:pPr>
              <w:ind w:right="573"/>
              <w:jc w:val="right"/>
            </w:pPr>
            <w:r>
              <w:t>17,500</w:t>
            </w:r>
          </w:p>
        </w:tc>
      </w:tr>
      <w:tr w:rsidR="00745022" w14:paraId="5DA9845C" w14:textId="77777777" w:rsidTr="006A0C63">
        <w:tc>
          <w:tcPr>
            <w:tcW w:w="1116" w:type="dxa"/>
          </w:tcPr>
          <w:p w14:paraId="0874E8E2" w14:textId="77777777" w:rsidR="00745022" w:rsidRDefault="00745022" w:rsidP="00B33EBC">
            <w:r>
              <w:t>Stock C</w:t>
            </w:r>
          </w:p>
        </w:tc>
        <w:tc>
          <w:tcPr>
            <w:tcW w:w="1836" w:type="dxa"/>
          </w:tcPr>
          <w:p w14:paraId="0816CB58" w14:textId="412464BF" w:rsidR="00745022" w:rsidRDefault="00317E5E" w:rsidP="00FA6CBC">
            <w:pPr>
              <w:ind w:right="324"/>
              <w:jc w:val="right"/>
            </w:pPr>
            <w:r>
              <w:t>8/23/</w:t>
            </w:r>
            <w:r w:rsidR="0024700C">
              <w:t>2016</w:t>
            </w:r>
          </w:p>
        </w:tc>
        <w:tc>
          <w:tcPr>
            <w:tcW w:w="1116" w:type="dxa"/>
          </w:tcPr>
          <w:p w14:paraId="6D83AD02" w14:textId="77777777" w:rsidR="00745022" w:rsidRDefault="00745022" w:rsidP="00B33EBC">
            <w:pPr>
              <w:ind w:right="80"/>
              <w:jc w:val="right"/>
            </w:pPr>
            <w:r>
              <w:t>10,750</w:t>
            </w:r>
          </w:p>
        </w:tc>
        <w:tc>
          <w:tcPr>
            <w:tcW w:w="1430" w:type="dxa"/>
          </w:tcPr>
          <w:p w14:paraId="6F910ED9" w14:textId="2C39CB34" w:rsidR="00745022" w:rsidRDefault="00745022" w:rsidP="004F526C">
            <w:pPr>
              <w:ind w:right="110"/>
              <w:jc w:val="right"/>
            </w:pPr>
            <w:r>
              <w:t>10/12/</w:t>
            </w:r>
            <w:r w:rsidR="0024700C">
              <w:t>2018</w:t>
            </w:r>
          </w:p>
        </w:tc>
        <w:tc>
          <w:tcPr>
            <w:tcW w:w="2023" w:type="dxa"/>
          </w:tcPr>
          <w:p w14:paraId="2AF3950B" w14:textId="77777777" w:rsidR="00745022" w:rsidRDefault="00745022" w:rsidP="00B33EBC">
            <w:pPr>
              <w:ind w:right="573"/>
              <w:jc w:val="right"/>
            </w:pPr>
            <w:r>
              <w:t>15,300</w:t>
            </w:r>
          </w:p>
        </w:tc>
      </w:tr>
      <w:tr w:rsidR="00745022" w14:paraId="08726274" w14:textId="77777777" w:rsidTr="006A0C63">
        <w:trPr>
          <w:trHeight w:val="140"/>
        </w:trPr>
        <w:tc>
          <w:tcPr>
            <w:tcW w:w="1116" w:type="dxa"/>
          </w:tcPr>
          <w:p w14:paraId="4B47B48F" w14:textId="77777777" w:rsidR="00745022" w:rsidRDefault="00745022" w:rsidP="00B33EBC">
            <w:r>
              <w:t>Stock D</w:t>
            </w:r>
          </w:p>
        </w:tc>
        <w:tc>
          <w:tcPr>
            <w:tcW w:w="1836" w:type="dxa"/>
          </w:tcPr>
          <w:p w14:paraId="18E6A473" w14:textId="5A93565D" w:rsidR="00745022" w:rsidRDefault="00745022" w:rsidP="00FA6CBC">
            <w:pPr>
              <w:ind w:right="324"/>
              <w:jc w:val="right"/>
            </w:pPr>
            <w:r>
              <w:t>5/19/</w:t>
            </w:r>
            <w:r w:rsidR="0024700C">
              <w:t>2008</w:t>
            </w:r>
          </w:p>
        </w:tc>
        <w:tc>
          <w:tcPr>
            <w:tcW w:w="1116" w:type="dxa"/>
          </w:tcPr>
          <w:p w14:paraId="633F82BA" w14:textId="77777777" w:rsidR="00745022" w:rsidRDefault="00745022" w:rsidP="00B33EBC">
            <w:pPr>
              <w:ind w:right="80"/>
              <w:jc w:val="right"/>
            </w:pPr>
            <w:r>
              <w:t>5,230</w:t>
            </w:r>
          </w:p>
        </w:tc>
        <w:tc>
          <w:tcPr>
            <w:tcW w:w="1430" w:type="dxa"/>
          </w:tcPr>
          <w:p w14:paraId="16870731" w14:textId="61651842" w:rsidR="00745022" w:rsidRDefault="00745022" w:rsidP="001F772C">
            <w:pPr>
              <w:ind w:right="110"/>
              <w:jc w:val="right"/>
            </w:pPr>
            <w:r>
              <w:t>10/12/</w:t>
            </w:r>
            <w:r w:rsidR="0024700C">
              <w:t>2018</w:t>
            </w:r>
          </w:p>
        </w:tc>
        <w:tc>
          <w:tcPr>
            <w:tcW w:w="2023" w:type="dxa"/>
          </w:tcPr>
          <w:p w14:paraId="552BB2AC" w14:textId="77777777" w:rsidR="00745022" w:rsidRDefault="00745022" w:rsidP="00B33EBC">
            <w:pPr>
              <w:ind w:right="573"/>
              <w:jc w:val="right"/>
            </w:pPr>
            <w:r>
              <w:t>12,400</w:t>
            </w:r>
          </w:p>
        </w:tc>
      </w:tr>
      <w:tr w:rsidR="00745022" w14:paraId="6C986C15" w14:textId="77777777" w:rsidTr="006A0C63">
        <w:trPr>
          <w:trHeight w:val="140"/>
        </w:trPr>
        <w:tc>
          <w:tcPr>
            <w:tcW w:w="1116" w:type="dxa"/>
          </w:tcPr>
          <w:p w14:paraId="2737BA2F" w14:textId="77777777" w:rsidR="00745022" w:rsidRDefault="00745022" w:rsidP="00B33EBC">
            <w:r>
              <w:t>Stock E</w:t>
            </w:r>
          </w:p>
        </w:tc>
        <w:tc>
          <w:tcPr>
            <w:tcW w:w="1836" w:type="dxa"/>
          </w:tcPr>
          <w:p w14:paraId="1FEE5FD6" w14:textId="56387D3A" w:rsidR="00745022" w:rsidRDefault="00317E5E" w:rsidP="00A818E8">
            <w:pPr>
              <w:ind w:right="324"/>
              <w:jc w:val="right"/>
            </w:pPr>
            <w:r>
              <w:t>8/20/</w:t>
            </w:r>
            <w:r w:rsidR="0024700C">
              <w:t>2018</w:t>
            </w:r>
          </w:p>
        </w:tc>
        <w:tc>
          <w:tcPr>
            <w:tcW w:w="1116" w:type="dxa"/>
          </w:tcPr>
          <w:p w14:paraId="16DF6884" w14:textId="77777777" w:rsidR="00745022" w:rsidRDefault="00745022" w:rsidP="00B33EBC">
            <w:pPr>
              <w:ind w:right="80"/>
              <w:jc w:val="right"/>
            </w:pPr>
            <w:r>
              <w:t>7,300</w:t>
            </w:r>
          </w:p>
        </w:tc>
        <w:tc>
          <w:tcPr>
            <w:tcW w:w="1430" w:type="dxa"/>
          </w:tcPr>
          <w:p w14:paraId="13B94647" w14:textId="5028EED0" w:rsidR="00745022" w:rsidRDefault="00745022" w:rsidP="004F526C">
            <w:pPr>
              <w:ind w:right="110"/>
              <w:jc w:val="right"/>
            </w:pPr>
            <w:r>
              <w:t>11/14/</w:t>
            </w:r>
            <w:r w:rsidR="0024700C">
              <w:t>2018</w:t>
            </w:r>
          </w:p>
        </w:tc>
        <w:tc>
          <w:tcPr>
            <w:tcW w:w="2023" w:type="dxa"/>
          </w:tcPr>
          <w:p w14:paraId="45C9DFB8" w14:textId="77777777" w:rsidR="00745022" w:rsidRDefault="00745022" w:rsidP="00B33EBC">
            <w:pPr>
              <w:ind w:right="573"/>
              <w:jc w:val="right"/>
            </w:pPr>
            <w:r>
              <w:t>3,500</w:t>
            </w:r>
          </w:p>
        </w:tc>
      </w:tr>
    </w:tbl>
    <w:p w14:paraId="2E776475" w14:textId="77777777" w:rsidR="00745022" w:rsidRDefault="00745022" w:rsidP="00C04668"/>
    <w:p w14:paraId="355595AD" w14:textId="77777777" w:rsidR="00745022" w:rsidRDefault="00745022" w:rsidP="00C04668">
      <w:pPr>
        <w:numPr>
          <w:ilvl w:val="1"/>
          <w:numId w:val="2"/>
        </w:numPr>
        <w:tabs>
          <w:tab w:val="clear" w:pos="1440"/>
        </w:tabs>
        <w:ind w:left="1080"/>
      </w:pPr>
      <w:r>
        <w:t>What is Grayson’s net short-term capital gain or loss from these transactions?</w:t>
      </w:r>
    </w:p>
    <w:p w14:paraId="2F5BD807" w14:textId="77777777" w:rsidR="004B4155" w:rsidRDefault="004B4155" w:rsidP="004B4155">
      <w:pPr>
        <w:numPr>
          <w:ilvl w:val="1"/>
          <w:numId w:val="2"/>
        </w:numPr>
        <w:tabs>
          <w:tab w:val="clear" w:pos="1440"/>
        </w:tabs>
        <w:ind w:left="1080"/>
      </w:pPr>
      <w:r>
        <w:t>What is Grayson’s net long-term gain or loss from these transactions?</w:t>
      </w:r>
    </w:p>
    <w:p w14:paraId="717B57A3" w14:textId="77777777" w:rsidR="004B4155" w:rsidRDefault="004B4155" w:rsidP="004B4155">
      <w:pPr>
        <w:numPr>
          <w:ilvl w:val="1"/>
          <w:numId w:val="2"/>
        </w:numPr>
        <w:tabs>
          <w:tab w:val="clear" w:pos="1440"/>
        </w:tabs>
        <w:ind w:left="1080"/>
      </w:pPr>
      <w:r>
        <w:t>What is Grayson’s overall net gain or loss from these transactions?</w:t>
      </w:r>
    </w:p>
    <w:p w14:paraId="23DDF2EA" w14:textId="77777777" w:rsidR="004B4155" w:rsidRDefault="004B4155" w:rsidP="004B4155">
      <w:pPr>
        <w:numPr>
          <w:ilvl w:val="1"/>
          <w:numId w:val="2"/>
        </w:numPr>
        <w:tabs>
          <w:tab w:val="clear" w:pos="1440"/>
        </w:tabs>
        <w:ind w:left="1080"/>
      </w:pPr>
      <w:r>
        <w:t xml:space="preserve">What amount of the gain, if any, is subject to the preferential rate for certain capital gains? </w:t>
      </w:r>
    </w:p>
    <w:p w14:paraId="14BCC7AA" w14:textId="77777777" w:rsidR="00745022" w:rsidRDefault="00745022" w:rsidP="0092099D">
      <w:pPr>
        <w:ind w:left="720"/>
      </w:pPr>
    </w:p>
    <w:p w14:paraId="29447144" w14:textId="77777777" w:rsidR="00745022" w:rsidRPr="0092099D" w:rsidRDefault="004B4155" w:rsidP="004B4155">
      <w:pPr>
        <w:ind w:left="1080" w:hanging="360"/>
        <w:outlineLvl w:val="0"/>
        <w:rPr>
          <w:i/>
        </w:rPr>
      </w:pPr>
      <w:r w:rsidRPr="004B4155">
        <w:rPr>
          <w:i/>
        </w:rPr>
        <w:t>a.</w:t>
      </w:r>
      <w:r>
        <w:rPr>
          <w:i/>
        </w:rPr>
        <w:tab/>
      </w:r>
      <w:r w:rsidR="00745022" w:rsidRPr="0092099D">
        <w:rPr>
          <w:i/>
        </w:rPr>
        <w:t>Grayson’s net short-term capital loss is $300, which is the net of the short-term gains and losses for the year. This $300 loss is the short-term capital gain of $3,500 from Stock B (i.e. $17,500 – 14,000) less the short-term capital loss of $3,800 from Stock E (i.e. $3,500 – 7,300).</w:t>
      </w:r>
    </w:p>
    <w:p w14:paraId="41BA137F" w14:textId="77777777" w:rsidR="00745022" w:rsidRDefault="00745022" w:rsidP="004B4155">
      <w:pPr>
        <w:ind w:left="1080" w:hanging="360"/>
      </w:pPr>
    </w:p>
    <w:p w14:paraId="1A8AC827" w14:textId="77777777" w:rsidR="00745022" w:rsidRPr="0092099D" w:rsidRDefault="004B4155" w:rsidP="004B4155">
      <w:pPr>
        <w:ind w:left="1080" w:hanging="360"/>
        <w:rPr>
          <w:i/>
        </w:rPr>
      </w:pPr>
      <w:r w:rsidRPr="004B4155">
        <w:rPr>
          <w:i/>
        </w:rPr>
        <w:t>b.</w:t>
      </w:r>
      <w:r>
        <w:rPr>
          <w:i/>
        </w:rPr>
        <w:tab/>
      </w:r>
      <w:r w:rsidR="00745022" w:rsidRPr="0092099D">
        <w:rPr>
          <w:i/>
        </w:rPr>
        <w:t>Grayson’s net long-term capital gain is $8,970, which is the net long-term gain less the long-term loss for the year. This is the net of the long-term capital gain of $11,720 (i.e. $4,550 from Stock C ($15,300 – 10,750) and $7,170 from Stock D ($12,400 – 5,230)) less the long-term capital loss of $2,750 from Stock A ($4,500 – 7,250).</w:t>
      </w:r>
    </w:p>
    <w:p w14:paraId="592D51EA" w14:textId="77777777" w:rsidR="00745022" w:rsidRDefault="00745022" w:rsidP="004B4155">
      <w:pPr>
        <w:ind w:left="1080" w:hanging="360"/>
      </w:pPr>
    </w:p>
    <w:p w14:paraId="3AAC5E5E" w14:textId="3888E7A3" w:rsidR="00745022" w:rsidRPr="0092099D" w:rsidRDefault="004B4155" w:rsidP="004B4155">
      <w:pPr>
        <w:ind w:left="1080" w:hanging="360"/>
        <w:outlineLvl w:val="0"/>
        <w:rPr>
          <w:i/>
        </w:rPr>
      </w:pPr>
      <w:r w:rsidRPr="004B4155">
        <w:rPr>
          <w:i/>
        </w:rPr>
        <w:t>c.</w:t>
      </w:r>
      <w:r>
        <w:rPr>
          <w:i/>
        </w:rPr>
        <w:tab/>
      </w:r>
      <w:r w:rsidR="00745022" w:rsidRPr="0092099D">
        <w:rPr>
          <w:i/>
        </w:rPr>
        <w:t xml:space="preserve">Grayson’s </w:t>
      </w:r>
      <w:r w:rsidR="00745022" w:rsidRPr="00AA2F52">
        <w:rPr>
          <w:i/>
        </w:rPr>
        <w:t>net capital gain is</w:t>
      </w:r>
      <w:r w:rsidR="00745022" w:rsidRPr="0092099D">
        <w:rPr>
          <w:i/>
        </w:rPr>
        <w:t xml:space="preserve"> $8,670, which is the net short-term loss offset against the net long-term capital gain for the year because the signs are opposite. This $300 short-term capital loss (from part a) is netted against the</w:t>
      </w:r>
      <w:r w:rsidR="00745022">
        <w:rPr>
          <w:i/>
        </w:rPr>
        <w:t xml:space="preserve"> </w:t>
      </w:r>
      <w:r w:rsidR="00745022" w:rsidRPr="0092099D">
        <w:rPr>
          <w:i/>
        </w:rPr>
        <w:t xml:space="preserve">$8,970 net long-term capital </w:t>
      </w:r>
      <w:r w:rsidR="00C6071C">
        <w:rPr>
          <w:i/>
        </w:rPr>
        <w:t>gain</w:t>
      </w:r>
      <w:r w:rsidR="00745022" w:rsidRPr="0092099D">
        <w:rPr>
          <w:i/>
        </w:rPr>
        <w:t xml:space="preserve"> (from part b).</w:t>
      </w:r>
    </w:p>
    <w:p w14:paraId="01AD0642" w14:textId="77777777" w:rsidR="00745022" w:rsidRDefault="00745022" w:rsidP="004B4155">
      <w:pPr>
        <w:ind w:left="1080" w:hanging="360"/>
      </w:pPr>
    </w:p>
    <w:p w14:paraId="65D5B7BD" w14:textId="4D5E8C1C" w:rsidR="00745022" w:rsidRPr="0092099D" w:rsidRDefault="004B4155" w:rsidP="004B4155">
      <w:pPr>
        <w:ind w:left="1080" w:hanging="360"/>
        <w:rPr>
          <w:i/>
        </w:rPr>
      </w:pPr>
      <w:r w:rsidRPr="004B4155">
        <w:rPr>
          <w:i/>
        </w:rPr>
        <w:t>d.</w:t>
      </w:r>
      <w:r>
        <w:rPr>
          <w:i/>
        </w:rPr>
        <w:tab/>
      </w:r>
      <w:r w:rsidR="00745022" w:rsidRPr="0092099D">
        <w:rPr>
          <w:i/>
        </w:rPr>
        <w:t xml:space="preserve">Grayson’s entire </w:t>
      </w:r>
      <w:r w:rsidR="00745022" w:rsidRPr="00AA2F52">
        <w:rPr>
          <w:i/>
        </w:rPr>
        <w:t>net capital gain</w:t>
      </w:r>
      <w:r w:rsidR="00745022" w:rsidRPr="0092099D">
        <w:rPr>
          <w:i/>
        </w:rPr>
        <w:t xml:space="preserve"> of $8,670 will be taxed at </w:t>
      </w:r>
      <w:r w:rsidR="00CF531D">
        <w:rPr>
          <w:i/>
        </w:rPr>
        <w:t xml:space="preserve">a </w:t>
      </w:r>
      <w:r w:rsidR="00745022" w:rsidRPr="0092099D">
        <w:rPr>
          <w:i/>
        </w:rPr>
        <w:t xml:space="preserve">preferential </w:t>
      </w:r>
      <w:r w:rsidR="00CF531D">
        <w:rPr>
          <w:i/>
        </w:rPr>
        <w:t xml:space="preserve">15 percent </w:t>
      </w:r>
      <w:r w:rsidR="00D14D69">
        <w:rPr>
          <w:i/>
        </w:rPr>
        <w:t xml:space="preserve">tax </w:t>
      </w:r>
      <w:r w:rsidR="00604072">
        <w:rPr>
          <w:i/>
        </w:rPr>
        <w:t xml:space="preserve">rate because Grayson’s tax bracket </w:t>
      </w:r>
      <w:r w:rsidR="00071678">
        <w:rPr>
          <w:i/>
        </w:rPr>
        <w:t xml:space="preserve">of 24 percent </w:t>
      </w:r>
      <w:r w:rsidR="00604072">
        <w:rPr>
          <w:i/>
        </w:rPr>
        <w:t xml:space="preserve">puts him above the maximum zero rate amount and below the maximum 15-percent rate amount. </w:t>
      </w:r>
    </w:p>
    <w:p w14:paraId="52F6BC7B" w14:textId="77777777" w:rsidR="00745022" w:rsidRDefault="00745022" w:rsidP="00C04668"/>
    <w:p w14:paraId="5EA99DF6" w14:textId="77777777" w:rsidR="00745022" w:rsidRDefault="00745022" w:rsidP="00C04668">
      <w:pPr>
        <w:numPr>
          <w:ilvl w:val="0"/>
          <w:numId w:val="1"/>
        </w:numPr>
      </w:pPr>
      <w:r>
        <w:t xml:space="preserve">[LO 2] George bought the following amounts of Stock A over the years: </w:t>
      </w:r>
    </w:p>
    <w:p w14:paraId="2C1DDA0F" w14:textId="77777777" w:rsidR="00745022" w:rsidRDefault="00745022" w:rsidP="00C04668"/>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9"/>
        <w:gridCol w:w="2114"/>
        <w:gridCol w:w="2079"/>
        <w:gridCol w:w="1780"/>
      </w:tblGrid>
      <w:tr w:rsidR="00745022" w14:paraId="38E6DCAA" w14:textId="77777777">
        <w:tc>
          <w:tcPr>
            <w:tcW w:w="1836" w:type="dxa"/>
          </w:tcPr>
          <w:p w14:paraId="10433650" w14:textId="77777777" w:rsidR="00745022" w:rsidRDefault="00745022" w:rsidP="00B33EBC"/>
        </w:tc>
        <w:tc>
          <w:tcPr>
            <w:tcW w:w="1836" w:type="dxa"/>
          </w:tcPr>
          <w:p w14:paraId="7D874BC3" w14:textId="77777777" w:rsidR="00745022" w:rsidRDefault="00745022" w:rsidP="00B33EBC">
            <w:pPr>
              <w:jc w:val="center"/>
            </w:pPr>
            <w:r>
              <w:t>Date Purchased</w:t>
            </w:r>
          </w:p>
        </w:tc>
        <w:tc>
          <w:tcPr>
            <w:tcW w:w="2083" w:type="dxa"/>
          </w:tcPr>
          <w:p w14:paraId="4A727A97" w14:textId="77777777" w:rsidR="00745022" w:rsidRDefault="00745022" w:rsidP="00B33EBC">
            <w:pPr>
              <w:jc w:val="center"/>
            </w:pPr>
            <w:r>
              <w:t>Number of Shares</w:t>
            </w:r>
          </w:p>
        </w:tc>
        <w:tc>
          <w:tcPr>
            <w:tcW w:w="1783" w:type="dxa"/>
          </w:tcPr>
          <w:p w14:paraId="24D5CB59" w14:textId="77777777" w:rsidR="00745022" w:rsidRDefault="00745022" w:rsidP="00B33EBC">
            <w:pPr>
              <w:jc w:val="center"/>
            </w:pPr>
            <w:r>
              <w:t>Adjusted Basis</w:t>
            </w:r>
          </w:p>
        </w:tc>
      </w:tr>
      <w:tr w:rsidR="00745022" w14:paraId="040922DA" w14:textId="77777777">
        <w:tc>
          <w:tcPr>
            <w:tcW w:w="1836" w:type="dxa"/>
            <w:vAlign w:val="center"/>
          </w:tcPr>
          <w:p w14:paraId="0BAC3C9A" w14:textId="77777777" w:rsidR="00745022" w:rsidRDefault="00745022" w:rsidP="00B33EBC">
            <w:pPr>
              <w:jc w:val="center"/>
            </w:pPr>
            <w:r>
              <w:t>Stock A</w:t>
            </w:r>
          </w:p>
        </w:tc>
        <w:tc>
          <w:tcPr>
            <w:tcW w:w="1836" w:type="dxa"/>
          </w:tcPr>
          <w:p w14:paraId="699DA76D" w14:textId="7A4DB95C" w:rsidR="00745022" w:rsidRDefault="00745022" w:rsidP="00FA6CBC">
            <w:pPr>
              <w:ind w:right="324"/>
              <w:jc w:val="right"/>
            </w:pPr>
            <w:r>
              <w:t>11/21/</w:t>
            </w:r>
            <w:r w:rsidR="0024700C">
              <w:t>1992</w:t>
            </w:r>
          </w:p>
        </w:tc>
        <w:tc>
          <w:tcPr>
            <w:tcW w:w="2083" w:type="dxa"/>
          </w:tcPr>
          <w:p w14:paraId="602CE560" w14:textId="77777777" w:rsidR="00745022" w:rsidRDefault="00745022" w:rsidP="00B33EBC">
            <w:pPr>
              <w:ind w:right="727"/>
              <w:jc w:val="right"/>
            </w:pPr>
            <w:r>
              <w:t>1,000</w:t>
            </w:r>
          </w:p>
        </w:tc>
        <w:tc>
          <w:tcPr>
            <w:tcW w:w="1783" w:type="dxa"/>
          </w:tcPr>
          <w:p w14:paraId="3568797B" w14:textId="77777777" w:rsidR="00745022" w:rsidRDefault="00745022" w:rsidP="00B33EBC">
            <w:pPr>
              <w:ind w:right="350"/>
              <w:jc w:val="right"/>
            </w:pPr>
            <w:r>
              <w:t>$24,000</w:t>
            </w:r>
          </w:p>
        </w:tc>
      </w:tr>
      <w:tr w:rsidR="00745022" w14:paraId="7A409120" w14:textId="77777777">
        <w:tc>
          <w:tcPr>
            <w:tcW w:w="1836" w:type="dxa"/>
          </w:tcPr>
          <w:p w14:paraId="6D8ABD64" w14:textId="77777777" w:rsidR="00745022" w:rsidRDefault="00745022" w:rsidP="00B33EBC">
            <w:pPr>
              <w:jc w:val="center"/>
            </w:pPr>
            <w:r>
              <w:t>Stock A</w:t>
            </w:r>
          </w:p>
        </w:tc>
        <w:tc>
          <w:tcPr>
            <w:tcW w:w="1836" w:type="dxa"/>
          </w:tcPr>
          <w:p w14:paraId="7E908801" w14:textId="5C991A26" w:rsidR="00745022" w:rsidRDefault="00745022" w:rsidP="00FA6CBC">
            <w:pPr>
              <w:ind w:right="324"/>
              <w:jc w:val="right"/>
            </w:pPr>
            <w:r>
              <w:t>3/18/</w:t>
            </w:r>
            <w:r w:rsidR="0024700C">
              <w:t>1998</w:t>
            </w:r>
          </w:p>
        </w:tc>
        <w:tc>
          <w:tcPr>
            <w:tcW w:w="2083" w:type="dxa"/>
          </w:tcPr>
          <w:p w14:paraId="09BE971C" w14:textId="77777777" w:rsidR="00745022" w:rsidRDefault="00745022" w:rsidP="00B33EBC">
            <w:pPr>
              <w:ind w:right="727"/>
              <w:jc w:val="right"/>
            </w:pPr>
            <w:r>
              <w:t>500</w:t>
            </w:r>
          </w:p>
        </w:tc>
        <w:tc>
          <w:tcPr>
            <w:tcW w:w="1783" w:type="dxa"/>
          </w:tcPr>
          <w:p w14:paraId="6FB7D3AD" w14:textId="77777777" w:rsidR="00745022" w:rsidRDefault="00745022" w:rsidP="00B33EBC">
            <w:pPr>
              <w:ind w:right="350"/>
              <w:jc w:val="right"/>
            </w:pPr>
            <w:r>
              <w:t>9,000</w:t>
            </w:r>
          </w:p>
        </w:tc>
      </w:tr>
      <w:tr w:rsidR="00745022" w14:paraId="616CAFE4" w14:textId="77777777">
        <w:tc>
          <w:tcPr>
            <w:tcW w:w="1836" w:type="dxa"/>
          </w:tcPr>
          <w:p w14:paraId="1A0C6D71" w14:textId="77777777" w:rsidR="00745022" w:rsidRDefault="00745022" w:rsidP="00B33EBC">
            <w:pPr>
              <w:jc w:val="center"/>
            </w:pPr>
            <w:r>
              <w:t>Stock A</w:t>
            </w:r>
          </w:p>
        </w:tc>
        <w:tc>
          <w:tcPr>
            <w:tcW w:w="1836" w:type="dxa"/>
          </w:tcPr>
          <w:p w14:paraId="69CF426B" w14:textId="542D91A3" w:rsidR="00745022" w:rsidRDefault="00745022" w:rsidP="00FA6CBC">
            <w:pPr>
              <w:ind w:right="324"/>
              <w:jc w:val="right"/>
            </w:pPr>
            <w:r>
              <w:t>5/22/</w:t>
            </w:r>
            <w:r w:rsidR="0024700C">
              <w:t>2007</w:t>
            </w:r>
          </w:p>
        </w:tc>
        <w:tc>
          <w:tcPr>
            <w:tcW w:w="2083" w:type="dxa"/>
          </w:tcPr>
          <w:p w14:paraId="4F33EFD1" w14:textId="77777777" w:rsidR="00745022" w:rsidRDefault="00745022" w:rsidP="00B33EBC">
            <w:pPr>
              <w:ind w:right="727"/>
              <w:jc w:val="right"/>
            </w:pPr>
            <w:r>
              <w:t>750</w:t>
            </w:r>
          </w:p>
        </w:tc>
        <w:tc>
          <w:tcPr>
            <w:tcW w:w="1783" w:type="dxa"/>
          </w:tcPr>
          <w:p w14:paraId="168402D0" w14:textId="77777777" w:rsidR="00745022" w:rsidRDefault="00745022" w:rsidP="00B33EBC">
            <w:pPr>
              <w:ind w:right="350"/>
              <w:jc w:val="right"/>
            </w:pPr>
            <w:r>
              <w:t>27,000</w:t>
            </w:r>
          </w:p>
        </w:tc>
      </w:tr>
    </w:tbl>
    <w:p w14:paraId="21A49EDD" w14:textId="77777777" w:rsidR="00745022" w:rsidRDefault="00745022" w:rsidP="00C04668"/>
    <w:p w14:paraId="436F4061" w14:textId="6DF42C5B" w:rsidR="00745022" w:rsidRDefault="00745022" w:rsidP="00C04668">
      <w:pPr>
        <w:ind w:left="360"/>
      </w:pPr>
      <w:r>
        <w:t xml:space="preserve">On October 12, </w:t>
      </w:r>
      <w:r w:rsidR="0024700C">
        <w:t>2018</w:t>
      </w:r>
      <w:r>
        <w:t>, he sold 1,200 of his shares of Stock A for $38 per share.</w:t>
      </w:r>
    </w:p>
    <w:p w14:paraId="1E0596A4" w14:textId="77777777" w:rsidR="00745022" w:rsidRDefault="00745022" w:rsidP="00C04668">
      <w:pPr>
        <w:ind w:left="360"/>
      </w:pPr>
    </w:p>
    <w:p w14:paraId="5770DD68" w14:textId="77777777" w:rsidR="00745022" w:rsidRDefault="00745022" w:rsidP="00C04668">
      <w:pPr>
        <w:numPr>
          <w:ilvl w:val="2"/>
          <w:numId w:val="2"/>
        </w:numPr>
        <w:tabs>
          <w:tab w:val="clear" w:pos="1440"/>
        </w:tabs>
        <w:ind w:left="1080"/>
      </w:pPr>
      <w:r>
        <w:t>How much gain/loss will George have to recognize if he uses the FIFO method of accounting for the shares sold?</w:t>
      </w:r>
    </w:p>
    <w:p w14:paraId="1FEAB1BB" w14:textId="2AD70978" w:rsidR="004B4155" w:rsidRDefault="004B4155" w:rsidP="004B4155">
      <w:pPr>
        <w:numPr>
          <w:ilvl w:val="2"/>
          <w:numId w:val="2"/>
        </w:numPr>
        <w:tabs>
          <w:tab w:val="clear" w:pos="1440"/>
        </w:tabs>
        <w:ind w:left="1080"/>
      </w:pPr>
      <w:r>
        <w:t>How much gain/loss will George have to recognize if he specifically identifies the shares to be sold by telling his broker to sell all 750 shares from the 5/22/</w:t>
      </w:r>
      <w:r w:rsidR="0024700C">
        <w:t xml:space="preserve">2007 </w:t>
      </w:r>
      <w:r>
        <w:t>purchase and 450 shares from the 11/21/</w:t>
      </w:r>
      <w:r w:rsidR="0024700C">
        <w:t xml:space="preserve">1992 </w:t>
      </w:r>
      <w:r>
        <w:t>purchase?</w:t>
      </w:r>
    </w:p>
    <w:p w14:paraId="09B10956" w14:textId="77777777" w:rsidR="00745022" w:rsidRDefault="00745022" w:rsidP="001A4977">
      <w:pPr>
        <w:ind w:left="720"/>
      </w:pPr>
    </w:p>
    <w:p w14:paraId="67BFD6C5" w14:textId="2900AEDD" w:rsidR="00745022" w:rsidRPr="001A4977" w:rsidRDefault="004B4155" w:rsidP="004B4155">
      <w:pPr>
        <w:ind w:left="1080" w:hanging="360"/>
        <w:outlineLvl w:val="0"/>
        <w:rPr>
          <w:i/>
        </w:rPr>
      </w:pPr>
      <w:r w:rsidRPr="004B4155">
        <w:rPr>
          <w:i/>
        </w:rPr>
        <w:t>a.</w:t>
      </w:r>
      <w:r>
        <w:rPr>
          <w:i/>
        </w:rPr>
        <w:tab/>
      </w:r>
      <w:r w:rsidR="00745022" w:rsidRPr="001A4977">
        <w:rPr>
          <w:i/>
        </w:rPr>
        <w:t>George</w:t>
      </w:r>
      <w:r w:rsidR="00745022">
        <w:rPr>
          <w:i/>
        </w:rPr>
        <w:t xml:space="preserve"> will recognize</w:t>
      </w:r>
      <w:r w:rsidR="00745022" w:rsidRPr="001A4977">
        <w:rPr>
          <w:i/>
        </w:rPr>
        <w:t xml:space="preserve"> $18,000</w:t>
      </w:r>
      <w:r w:rsidR="00745022">
        <w:rPr>
          <w:i/>
        </w:rPr>
        <w:t xml:space="preserve"> of long-term capital gain</w:t>
      </w:r>
      <w:r w:rsidR="00745022" w:rsidRPr="001A4977">
        <w:rPr>
          <w:i/>
        </w:rPr>
        <w:t xml:space="preserve">. This is the amount realized of $45,600 (i.e. $38 per shares </w:t>
      </w:r>
      <w:r w:rsidR="00745022">
        <w:rPr>
          <w:i/>
        </w:rPr>
        <w:t>multiplied by</w:t>
      </w:r>
      <w:r w:rsidR="00745022" w:rsidRPr="001A4977">
        <w:rPr>
          <w:i/>
        </w:rPr>
        <w:t xml:space="preserve"> 1,200 shares) less the adjusted basis of $27,600. The adjusted basis is calculated under the FIFO method. This means the 1,200 shares sold were the first 1,200 purchased</w:t>
      </w:r>
      <w:r w:rsidR="000C1A4C">
        <w:rPr>
          <w:i/>
        </w:rPr>
        <w:t xml:space="preserve">. </w:t>
      </w:r>
      <w:r w:rsidR="00745022" w:rsidRPr="001A4977">
        <w:rPr>
          <w:i/>
        </w:rPr>
        <w:t>Therefore the 1,200 sold were the 1,000 shares purchased on 11/21/</w:t>
      </w:r>
      <w:r w:rsidR="0024700C">
        <w:rPr>
          <w:i/>
        </w:rPr>
        <w:t>1992</w:t>
      </w:r>
      <w:r w:rsidR="0024700C" w:rsidRPr="001A4977">
        <w:rPr>
          <w:i/>
        </w:rPr>
        <w:t xml:space="preserve"> </w:t>
      </w:r>
      <w:r w:rsidR="00745022" w:rsidRPr="001A4977">
        <w:rPr>
          <w:i/>
        </w:rPr>
        <w:t>(basis of $24,000) and 200 of the shares purchased on 3/18/</w:t>
      </w:r>
      <w:r w:rsidR="0024700C">
        <w:rPr>
          <w:i/>
        </w:rPr>
        <w:t xml:space="preserve">1998 </w:t>
      </w:r>
      <w:r w:rsidR="00745022" w:rsidRPr="001A4977">
        <w:rPr>
          <w:i/>
        </w:rPr>
        <w:t xml:space="preserve">(basis of $3,600 </w:t>
      </w:r>
      <w:r w:rsidR="00D14D69">
        <w:rPr>
          <w:i/>
        </w:rPr>
        <w:t xml:space="preserve">which is calculated by taking the </w:t>
      </w:r>
      <w:r w:rsidR="00745022" w:rsidRPr="001A4977">
        <w:rPr>
          <w:i/>
        </w:rPr>
        <w:t xml:space="preserve">$9,000 total basis divided by 500 shares purchased </w:t>
      </w:r>
      <w:r w:rsidR="00745022">
        <w:rPr>
          <w:i/>
        </w:rPr>
        <w:t>multiplied by</w:t>
      </w:r>
      <w:r w:rsidR="00745022" w:rsidRPr="001A4977">
        <w:rPr>
          <w:i/>
        </w:rPr>
        <w:t xml:space="preserve"> the 200 shares sold).</w:t>
      </w:r>
    </w:p>
    <w:p w14:paraId="459F3C0D" w14:textId="77777777" w:rsidR="00745022" w:rsidRDefault="00745022" w:rsidP="004B4155">
      <w:pPr>
        <w:ind w:left="720" w:hanging="360"/>
      </w:pPr>
    </w:p>
    <w:p w14:paraId="08CF9B90" w14:textId="3A5D6114" w:rsidR="00745022" w:rsidRPr="001A4977" w:rsidRDefault="004B4155" w:rsidP="004B4155">
      <w:pPr>
        <w:ind w:left="1080" w:hanging="360"/>
        <w:outlineLvl w:val="0"/>
        <w:rPr>
          <w:i/>
        </w:rPr>
      </w:pPr>
      <w:r w:rsidRPr="004B4155">
        <w:rPr>
          <w:i/>
        </w:rPr>
        <w:t>b.</w:t>
      </w:r>
      <w:r>
        <w:rPr>
          <w:i/>
        </w:rPr>
        <w:tab/>
      </w:r>
      <w:r w:rsidR="00745022" w:rsidRPr="001A4977">
        <w:rPr>
          <w:i/>
        </w:rPr>
        <w:t>George’s long-term capital gain is $7,800. This is the amount realized of $45,600 (i.e. $38 per shares</w:t>
      </w:r>
      <w:r w:rsidR="00745022">
        <w:rPr>
          <w:i/>
        </w:rPr>
        <w:t xml:space="preserve"> multiplied by </w:t>
      </w:r>
      <w:r w:rsidR="00745022" w:rsidRPr="001A4977">
        <w:rPr>
          <w:i/>
        </w:rPr>
        <w:t>1,200 shares) less the adjusted basis of $37,800. The adjusted basis is calculated under the specific identification method. George identified that the shares sold were the 750 purchased on 5/22/</w:t>
      </w:r>
      <w:r w:rsidR="0024700C">
        <w:rPr>
          <w:i/>
        </w:rPr>
        <w:t>2007</w:t>
      </w:r>
      <w:r w:rsidR="0024700C" w:rsidRPr="001A4977">
        <w:rPr>
          <w:i/>
        </w:rPr>
        <w:t xml:space="preserve"> </w:t>
      </w:r>
      <w:r w:rsidR="00745022" w:rsidRPr="001A4977">
        <w:rPr>
          <w:i/>
        </w:rPr>
        <w:t>(basis of $27,000) and 450 of the shares purchased on 11/21/</w:t>
      </w:r>
      <w:r w:rsidR="0024700C">
        <w:rPr>
          <w:i/>
        </w:rPr>
        <w:t>1992</w:t>
      </w:r>
      <w:r w:rsidR="0024700C" w:rsidRPr="001A4977">
        <w:rPr>
          <w:i/>
        </w:rPr>
        <w:t xml:space="preserve"> </w:t>
      </w:r>
      <w:r w:rsidR="00745022" w:rsidRPr="001A4977">
        <w:rPr>
          <w:i/>
        </w:rPr>
        <w:t xml:space="preserve">(basis of $10,800 </w:t>
      </w:r>
      <w:r w:rsidR="00745022">
        <w:rPr>
          <w:i/>
        </w:rPr>
        <w:t xml:space="preserve">or </w:t>
      </w:r>
      <w:r w:rsidR="00745022" w:rsidRPr="001A4977">
        <w:rPr>
          <w:i/>
        </w:rPr>
        <w:t xml:space="preserve">$24,000 total basis divided by 1,000 shares purchased </w:t>
      </w:r>
      <w:r w:rsidR="00745022">
        <w:rPr>
          <w:i/>
        </w:rPr>
        <w:t>multiplied by</w:t>
      </w:r>
      <w:r w:rsidR="00745022" w:rsidRPr="001A4977">
        <w:rPr>
          <w:i/>
        </w:rPr>
        <w:t xml:space="preserve"> the 450 shares sold).</w:t>
      </w:r>
    </w:p>
    <w:p w14:paraId="1F8F98D0" w14:textId="77777777" w:rsidR="00745022" w:rsidRDefault="00745022" w:rsidP="001A4977">
      <w:pPr>
        <w:ind w:left="720"/>
      </w:pPr>
    </w:p>
    <w:p w14:paraId="62994601" w14:textId="77777777" w:rsidR="0068516B" w:rsidRDefault="0068516B" w:rsidP="001A4977">
      <w:pPr>
        <w:ind w:left="720"/>
      </w:pPr>
    </w:p>
    <w:p w14:paraId="406301EB" w14:textId="77777777" w:rsidR="008B5995" w:rsidRDefault="008B5995" w:rsidP="001A4977">
      <w:pPr>
        <w:ind w:left="720"/>
      </w:pPr>
    </w:p>
    <w:p w14:paraId="2D1F7625" w14:textId="77777777" w:rsidR="00745022" w:rsidRDefault="00745022" w:rsidP="00C04668">
      <w:pPr>
        <w:numPr>
          <w:ilvl w:val="0"/>
          <w:numId w:val="1"/>
        </w:numPr>
      </w:pPr>
      <w:r w:rsidRPr="003542CE">
        <w:t>[LO 2] During the cu</w:t>
      </w:r>
      <w:r>
        <w:t xml:space="preserve">rrent year, Ron and Anne sold the following assets: </w:t>
      </w:r>
    </w:p>
    <w:p w14:paraId="2B0444DB" w14:textId="77777777" w:rsidR="00745022" w:rsidRDefault="00745022" w:rsidP="00C04668"/>
    <w:tbl>
      <w:tblPr>
        <w:tblW w:w="7030" w:type="dxa"/>
        <w:jc w:val="center"/>
        <w:tblLook w:val="0000" w:firstRow="0" w:lastRow="0" w:firstColumn="0" w:lastColumn="0" w:noHBand="0" w:noVBand="0"/>
      </w:tblPr>
      <w:tblGrid>
        <w:gridCol w:w="1538"/>
        <w:gridCol w:w="1606"/>
        <w:gridCol w:w="1154"/>
        <w:gridCol w:w="2732"/>
      </w:tblGrid>
      <w:tr w:rsidR="00745022" w14:paraId="4303DD85" w14:textId="77777777" w:rsidTr="004B4155">
        <w:trPr>
          <w:trHeight w:val="255"/>
          <w:jc w:val="center"/>
        </w:trPr>
        <w:tc>
          <w:tcPr>
            <w:tcW w:w="1538" w:type="dxa"/>
            <w:tcBorders>
              <w:top w:val="nil"/>
              <w:left w:val="nil"/>
              <w:bottom w:val="single" w:sz="4" w:space="0" w:color="auto"/>
              <w:right w:val="nil"/>
            </w:tcBorders>
            <w:noWrap/>
            <w:vAlign w:val="bottom"/>
          </w:tcPr>
          <w:p w14:paraId="5DD2501C" w14:textId="77777777" w:rsidR="00745022" w:rsidRPr="00D15390" w:rsidRDefault="00745022" w:rsidP="00B33EBC">
            <w:pPr>
              <w:jc w:val="center"/>
              <w:rPr>
                <w:b/>
              </w:rPr>
            </w:pPr>
            <w:r>
              <w:rPr>
                <w:b/>
              </w:rPr>
              <w:t>Capital Asset</w:t>
            </w:r>
          </w:p>
        </w:tc>
        <w:tc>
          <w:tcPr>
            <w:tcW w:w="1606" w:type="dxa"/>
            <w:tcBorders>
              <w:top w:val="nil"/>
              <w:left w:val="nil"/>
              <w:bottom w:val="single" w:sz="4" w:space="0" w:color="auto"/>
              <w:right w:val="nil"/>
            </w:tcBorders>
            <w:noWrap/>
            <w:vAlign w:val="bottom"/>
          </w:tcPr>
          <w:p w14:paraId="6858381B" w14:textId="77777777" w:rsidR="00745022" w:rsidRPr="00D15390" w:rsidRDefault="00745022" w:rsidP="00B33EBC">
            <w:pPr>
              <w:jc w:val="center"/>
              <w:rPr>
                <w:b/>
              </w:rPr>
            </w:pPr>
            <w:r w:rsidRPr="00D15390">
              <w:rPr>
                <w:b/>
              </w:rPr>
              <w:t>Market Value</w:t>
            </w:r>
          </w:p>
        </w:tc>
        <w:tc>
          <w:tcPr>
            <w:tcW w:w="1154" w:type="dxa"/>
            <w:tcBorders>
              <w:top w:val="nil"/>
              <w:left w:val="nil"/>
              <w:bottom w:val="single" w:sz="4" w:space="0" w:color="auto"/>
              <w:right w:val="nil"/>
            </w:tcBorders>
            <w:noWrap/>
            <w:vAlign w:val="bottom"/>
          </w:tcPr>
          <w:p w14:paraId="1B6D6044" w14:textId="77777777" w:rsidR="00745022" w:rsidRDefault="00745022" w:rsidP="00B33EBC">
            <w:pPr>
              <w:jc w:val="center"/>
              <w:rPr>
                <w:b/>
              </w:rPr>
            </w:pPr>
            <w:r>
              <w:rPr>
                <w:b/>
              </w:rPr>
              <w:t>Tax</w:t>
            </w:r>
          </w:p>
          <w:p w14:paraId="4E12DF3A" w14:textId="77777777" w:rsidR="00745022" w:rsidRPr="00D15390" w:rsidRDefault="00745022" w:rsidP="00B33EBC">
            <w:pPr>
              <w:jc w:val="center"/>
              <w:rPr>
                <w:b/>
              </w:rPr>
            </w:pPr>
            <w:r w:rsidRPr="00D15390">
              <w:rPr>
                <w:b/>
              </w:rPr>
              <w:t>Basis</w:t>
            </w:r>
          </w:p>
        </w:tc>
        <w:tc>
          <w:tcPr>
            <w:tcW w:w="2732" w:type="dxa"/>
            <w:tcBorders>
              <w:top w:val="nil"/>
              <w:left w:val="nil"/>
              <w:bottom w:val="single" w:sz="4" w:space="0" w:color="auto"/>
              <w:right w:val="nil"/>
            </w:tcBorders>
          </w:tcPr>
          <w:p w14:paraId="450A9BB2" w14:textId="77777777" w:rsidR="00745022" w:rsidRPr="00D15390" w:rsidRDefault="00745022" w:rsidP="00B33EBC">
            <w:pPr>
              <w:jc w:val="center"/>
              <w:rPr>
                <w:b/>
              </w:rPr>
            </w:pPr>
            <w:r>
              <w:rPr>
                <w:b/>
              </w:rPr>
              <w:t>Holding Period</w:t>
            </w:r>
          </w:p>
        </w:tc>
      </w:tr>
      <w:tr w:rsidR="00745022" w14:paraId="5A1F506B" w14:textId="77777777" w:rsidTr="004B4155">
        <w:trPr>
          <w:trHeight w:val="255"/>
          <w:jc w:val="center"/>
        </w:trPr>
        <w:tc>
          <w:tcPr>
            <w:tcW w:w="1538" w:type="dxa"/>
            <w:tcBorders>
              <w:top w:val="single" w:sz="4" w:space="0" w:color="auto"/>
              <w:left w:val="nil"/>
              <w:bottom w:val="nil"/>
              <w:right w:val="nil"/>
            </w:tcBorders>
            <w:noWrap/>
            <w:vAlign w:val="bottom"/>
          </w:tcPr>
          <w:p w14:paraId="065619B3" w14:textId="77777777" w:rsidR="00745022" w:rsidRPr="00D15390" w:rsidRDefault="00745022" w:rsidP="000B44A1">
            <w:r>
              <w:t xml:space="preserve"> L stock</w:t>
            </w:r>
          </w:p>
        </w:tc>
        <w:tc>
          <w:tcPr>
            <w:tcW w:w="1606" w:type="dxa"/>
            <w:tcBorders>
              <w:top w:val="single" w:sz="4" w:space="0" w:color="auto"/>
              <w:left w:val="nil"/>
              <w:bottom w:val="nil"/>
              <w:right w:val="nil"/>
            </w:tcBorders>
            <w:noWrap/>
            <w:vAlign w:val="bottom"/>
          </w:tcPr>
          <w:p w14:paraId="3024AE76" w14:textId="77777777" w:rsidR="00745022" w:rsidRPr="00D15390" w:rsidRDefault="00745022" w:rsidP="000B44A1">
            <w:pPr>
              <w:jc w:val="center"/>
            </w:pPr>
            <w:r w:rsidRPr="00D15390">
              <w:t>$</w:t>
            </w:r>
            <w:r>
              <w:t>5</w:t>
            </w:r>
            <w:r w:rsidRPr="00D15390">
              <w:t xml:space="preserve">0,000 </w:t>
            </w:r>
          </w:p>
        </w:tc>
        <w:tc>
          <w:tcPr>
            <w:tcW w:w="1154" w:type="dxa"/>
            <w:tcBorders>
              <w:top w:val="single" w:sz="4" w:space="0" w:color="auto"/>
              <w:left w:val="nil"/>
              <w:bottom w:val="nil"/>
              <w:right w:val="nil"/>
            </w:tcBorders>
            <w:noWrap/>
            <w:vAlign w:val="bottom"/>
          </w:tcPr>
          <w:p w14:paraId="0A45B4D2" w14:textId="77777777" w:rsidR="00745022" w:rsidRPr="00D15390" w:rsidRDefault="00745022" w:rsidP="00B33EBC">
            <w:pPr>
              <w:jc w:val="right"/>
            </w:pPr>
            <w:r w:rsidRPr="00D15390">
              <w:t>$</w:t>
            </w:r>
            <w:r>
              <w:t>41</w:t>
            </w:r>
            <w:r w:rsidRPr="00D15390">
              <w:t xml:space="preserve">,000 </w:t>
            </w:r>
          </w:p>
        </w:tc>
        <w:tc>
          <w:tcPr>
            <w:tcW w:w="2732" w:type="dxa"/>
            <w:tcBorders>
              <w:top w:val="single" w:sz="4" w:space="0" w:color="auto"/>
              <w:left w:val="nil"/>
              <w:bottom w:val="nil"/>
              <w:right w:val="nil"/>
            </w:tcBorders>
          </w:tcPr>
          <w:p w14:paraId="2F368880" w14:textId="77777777" w:rsidR="00745022" w:rsidRPr="00D15390" w:rsidRDefault="00745022" w:rsidP="00B33EBC">
            <w:pPr>
              <w:jc w:val="center"/>
            </w:pPr>
            <w:r>
              <w:t>&gt; 1 year</w:t>
            </w:r>
          </w:p>
        </w:tc>
      </w:tr>
      <w:tr w:rsidR="00745022" w14:paraId="4933ED4B" w14:textId="77777777">
        <w:trPr>
          <w:trHeight w:val="255"/>
          <w:jc w:val="center"/>
        </w:trPr>
        <w:tc>
          <w:tcPr>
            <w:tcW w:w="1538" w:type="dxa"/>
            <w:tcBorders>
              <w:top w:val="nil"/>
              <w:left w:val="nil"/>
              <w:bottom w:val="nil"/>
              <w:right w:val="nil"/>
            </w:tcBorders>
            <w:noWrap/>
            <w:vAlign w:val="bottom"/>
          </w:tcPr>
          <w:p w14:paraId="7E5D025E" w14:textId="77777777" w:rsidR="00745022" w:rsidRPr="00D15390" w:rsidRDefault="00745022" w:rsidP="000B44A1">
            <w:r>
              <w:t xml:space="preserve"> M stock</w:t>
            </w:r>
          </w:p>
        </w:tc>
        <w:tc>
          <w:tcPr>
            <w:tcW w:w="1606" w:type="dxa"/>
            <w:tcBorders>
              <w:top w:val="nil"/>
              <w:left w:val="nil"/>
              <w:bottom w:val="nil"/>
              <w:right w:val="nil"/>
            </w:tcBorders>
            <w:noWrap/>
            <w:vAlign w:val="bottom"/>
          </w:tcPr>
          <w:p w14:paraId="5130C6C2" w14:textId="77777777" w:rsidR="00745022" w:rsidRPr="00D15390" w:rsidRDefault="00745022" w:rsidP="000B44A1">
            <w:pPr>
              <w:jc w:val="center"/>
            </w:pPr>
            <w:r>
              <w:t xml:space="preserve">  </w:t>
            </w:r>
            <w:r w:rsidRPr="00D15390">
              <w:t>2</w:t>
            </w:r>
            <w:r>
              <w:t>8</w:t>
            </w:r>
            <w:r w:rsidRPr="00D15390">
              <w:t xml:space="preserve">,000 </w:t>
            </w:r>
          </w:p>
        </w:tc>
        <w:tc>
          <w:tcPr>
            <w:tcW w:w="1154" w:type="dxa"/>
            <w:tcBorders>
              <w:top w:val="nil"/>
              <w:left w:val="nil"/>
              <w:bottom w:val="nil"/>
              <w:right w:val="nil"/>
            </w:tcBorders>
            <w:noWrap/>
            <w:vAlign w:val="bottom"/>
          </w:tcPr>
          <w:p w14:paraId="5745EEFF" w14:textId="77777777" w:rsidR="00745022" w:rsidRPr="00D15390" w:rsidRDefault="00745022" w:rsidP="00B33EBC">
            <w:pPr>
              <w:jc w:val="right"/>
            </w:pPr>
            <w:r w:rsidRPr="00D15390">
              <w:t>3</w:t>
            </w:r>
            <w:r>
              <w:t>9</w:t>
            </w:r>
            <w:r w:rsidRPr="00D15390">
              <w:t xml:space="preserve">,000 </w:t>
            </w:r>
          </w:p>
        </w:tc>
        <w:tc>
          <w:tcPr>
            <w:tcW w:w="2732" w:type="dxa"/>
            <w:tcBorders>
              <w:top w:val="nil"/>
              <w:left w:val="nil"/>
              <w:bottom w:val="nil"/>
              <w:right w:val="nil"/>
            </w:tcBorders>
          </w:tcPr>
          <w:p w14:paraId="30EE8368" w14:textId="77777777" w:rsidR="00745022" w:rsidRPr="00D15390" w:rsidRDefault="00745022" w:rsidP="00B33EBC">
            <w:pPr>
              <w:jc w:val="center"/>
            </w:pPr>
            <w:r>
              <w:t>&gt; 1 year</w:t>
            </w:r>
          </w:p>
        </w:tc>
      </w:tr>
      <w:tr w:rsidR="00745022" w14:paraId="1F7083E7" w14:textId="77777777">
        <w:trPr>
          <w:trHeight w:val="255"/>
          <w:jc w:val="center"/>
        </w:trPr>
        <w:tc>
          <w:tcPr>
            <w:tcW w:w="1538" w:type="dxa"/>
            <w:tcBorders>
              <w:top w:val="nil"/>
              <w:left w:val="nil"/>
              <w:bottom w:val="nil"/>
              <w:right w:val="nil"/>
            </w:tcBorders>
            <w:noWrap/>
            <w:vAlign w:val="bottom"/>
          </w:tcPr>
          <w:p w14:paraId="68233F25" w14:textId="77777777" w:rsidR="00745022" w:rsidRPr="00D15390" w:rsidRDefault="00745022" w:rsidP="000B44A1">
            <w:r>
              <w:t xml:space="preserve"> N stock</w:t>
            </w:r>
          </w:p>
        </w:tc>
        <w:tc>
          <w:tcPr>
            <w:tcW w:w="1606" w:type="dxa"/>
            <w:tcBorders>
              <w:top w:val="nil"/>
              <w:left w:val="nil"/>
              <w:bottom w:val="nil"/>
              <w:right w:val="nil"/>
            </w:tcBorders>
            <w:noWrap/>
            <w:vAlign w:val="bottom"/>
          </w:tcPr>
          <w:p w14:paraId="2B3A53AC" w14:textId="77777777" w:rsidR="00745022" w:rsidRPr="00D15390" w:rsidRDefault="00745022" w:rsidP="000B44A1">
            <w:pPr>
              <w:jc w:val="center"/>
            </w:pPr>
            <w:r>
              <w:t xml:space="preserve">  3</w:t>
            </w:r>
            <w:r w:rsidRPr="00D15390">
              <w:t xml:space="preserve">0,000 </w:t>
            </w:r>
          </w:p>
        </w:tc>
        <w:tc>
          <w:tcPr>
            <w:tcW w:w="1154" w:type="dxa"/>
            <w:tcBorders>
              <w:top w:val="nil"/>
              <w:left w:val="nil"/>
              <w:bottom w:val="nil"/>
              <w:right w:val="nil"/>
            </w:tcBorders>
            <w:noWrap/>
            <w:vAlign w:val="bottom"/>
          </w:tcPr>
          <w:p w14:paraId="77A8B02B" w14:textId="77777777" w:rsidR="00745022" w:rsidRPr="00D15390" w:rsidRDefault="00745022" w:rsidP="00B33EBC">
            <w:pPr>
              <w:jc w:val="right"/>
            </w:pPr>
            <w:r>
              <w:t>2</w:t>
            </w:r>
            <w:r w:rsidRPr="00D15390">
              <w:t xml:space="preserve">2,000 </w:t>
            </w:r>
          </w:p>
        </w:tc>
        <w:tc>
          <w:tcPr>
            <w:tcW w:w="2732" w:type="dxa"/>
            <w:tcBorders>
              <w:top w:val="nil"/>
              <w:left w:val="nil"/>
              <w:bottom w:val="nil"/>
              <w:right w:val="nil"/>
            </w:tcBorders>
          </w:tcPr>
          <w:p w14:paraId="1D7B54CA" w14:textId="77777777" w:rsidR="00745022" w:rsidRPr="00D15390" w:rsidRDefault="00745022" w:rsidP="00B33EBC">
            <w:pPr>
              <w:jc w:val="center"/>
            </w:pPr>
            <w:r>
              <w:t>&lt; 1 year</w:t>
            </w:r>
          </w:p>
        </w:tc>
      </w:tr>
      <w:tr w:rsidR="00745022" w14:paraId="6345C4E2" w14:textId="77777777">
        <w:trPr>
          <w:trHeight w:val="255"/>
          <w:jc w:val="center"/>
        </w:trPr>
        <w:tc>
          <w:tcPr>
            <w:tcW w:w="1538" w:type="dxa"/>
            <w:tcBorders>
              <w:top w:val="nil"/>
              <w:left w:val="nil"/>
              <w:bottom w:val="nil"/>
              <w:right w:val="nil"/>
            </w:tcBorders>
            <w:noWrap/>
            <w:vAlign w:val="bottom"/>
          </w:tcPr>
          <w:p w14:paraId="3A810970" w14:textId="77777777" w:rsidR="00745022" w:rsidRPr="00D15390" w:rsidRDefault="00745022" w:rsidP="000B44A1">
            <w:r>
              <w:t xml:space="preserve"> O stock</w:t>
            </w:r>
          </w:p>
        </w:tc>
        <w:tc>
          <w:tcPr>
            <w:tcW w:w="1606" w:type="dxa"/>
            <w:tcBorders>
              <w:top w:val="nil"/>
              <w:left w:val="nil"/>
              <w:bottom w:val="nil"/>
              <w:right w:val="nil"/>
            </w:tcBorders>
            <w:noWrap/>
            <w:vAlign w:val="bottom"/>
          </w:tcPr>
          <w:p w14:paraId="0353E356" w14:textId="77777777" w:rsidR="00745022" w:rsidRPr="0030383B" w:rsidRDefault="00745022" w:rsidP="000B44A1">
            <w:pPr>
              <w:jc w:val="center"/>
            </w:pPr>
            <w:r>
              <w:t xml:space="preserve">  26</w:t>
            </w:r>
            <w:r w:rsidRPr="0030383B">
              <w:t xml:space="preserve">,000 </w:t>
            </w:r>
          </w:p>
        </w:tc>
        <w:tc>
          <w:tcPr>
            <w:tcW w:w="1154" w:type="dxa"/>
            <w:tcBorders>
              <w:top w:val="nil"/>
              <w:left w:val="nil"/>
              <w:bottom w:val="nil"/>
              <w:right w:val="nil"/>
            </w:tcBorders>
            <w:noWrap/>
            <w:vAlign w:val="bottom"/>
          </w:tcPr>
          <w:p w14:paraId="4444FEF5" w14:textId="77777777" w:rsidR="00745022" w:rsidRPr="0030383B" w:rsidRDefault="00745022" w:rsidP="00B33EBC">
            <w:pPr>
              <w:jc w:val="right"/>
            </w:pPr>
            <w:r>
              <w:t>33</w:t>
            </w:r>
            <w:r w:rsidRPr="0030383B">
              <w:t xml:space="preserve">,000 </w:t>
            </w:r>
          </w:p>
        </w:tc>
        <w:tc>
          <w:tcPr>
            <w:tcW w:w="2732" w:type="dxa"/>
            <w:tcBorders>
              <w:top w:val="nil"/>
              <w:left w:val="nil"/>
              <w:bottom w:val="nil"/>
              <w:right w:val="nil"/>
            </w:tcBorders>
          </w:tcPr>
          <w:p w14:paraId="25F5D6FF" w14:textId="77777777" w:rsidR="00745022" w:rsidRPr="00D15390" w:rsidRDefault="00745022" w:rsidP="00B33EBC">
            <w:pPr>
              <w:jc w:val="center"/>
            </w:pPr>
            <w:r>
              <w:t>&lt; 1 year</w:t>
            </w:r>
          </w:p>
        </w:tc>
      </w:tr>
      <w:tr w:rsidR="00745022" w14:paraId="26683FED" w14:textId="77777777" w:rsidTr="004B4155">
        <w:trPr>
          <w:trHeight w:val="255"/>
          <w:jc w:val="center"/>
        </w:trPr>
        <w:tc>
          <w:tcPr>
            <w:tcW w:w="1538" w:type="dxa"/>
            <w:tcBorders>
              <w:top w:val="nil"/>
              <w:left w:val="nil"/>
              <w:right w:val="nil"/>
            </w:tcBorders>
            <w:noWrap/>
            <w:vAlign w:val="bottom"/>
          </w:tcPr>
          <w:p w14:paraId="069F008D" w14:textId="77777777" w:rsidR="00745022" w:rsidRPr="00D15390" w:rsidRDefault="00745022" w:rsidP="000B44A1">
            <w:r>
              <w:t xml:space="preserve"> Antiques</w:t>
            </w:r>
          </w:p>
        </w:tc>
        <w:tc>
          <w:tcPr>
            <w:tcW w:w="1606" w:type="dxa"/>
            <w:tcBorders>
              <w:top w:val="nil"/>
              <w:left w:val="nil"/>
              <w:right w:val="nil"/>
            </w:tcBorders>
            <w:noWrap/>
            <w:vAlign w:val="bottom"/>
          </w:tcPr>
          <w:p w14:paraId="1CE4CAA9" w14:textId="77777777" w:rsidR="00745022" w:rsidRPr="00D15390" w:rsidRDefault="00745022" w:rsidP="000B44A1">
            <w:pPr>
              <w:jc w:val="center"/>
            </w:pPr>
            <w:r>
              <w:t xml:space="preserve">    7,000</w:t>
            </w:r>
          </w:p>
        </w:tc>
        <w:tc>
          <w:tcPr>
            <w:tcW w:w="1154" w:type="dxa"/>
            <w:tcBorders>
              <w:top w:val="nil"/>
              <w:left w:val="nil"/>
              <w:right w:val="nil"/>
            </w:tcBorders>
            <w:noWrap/>
            <w:vAlign w:val="bottom"/>
          </w:tcPr>
          <w:p w14:paraId="103F7A08" w14:textId="77777777" w:rsidR="00745022" w:rsidRPr="00D15390" w:rsidRDefault="00745022" w:rsidP="00B33EBC">
            <w:pPr>
              <w:jc w:val="right"/>
            </w:pPr>
            <w:r>
              <w:t>4,000</w:t>
            </w:r>
          </w:p>
        </w:tc>
        <w:tc>
          <w:tcPr>
            <w:tcW w:w="2732" w:type="dxa"/>
            <w:tcBorders>
              <w:top w:val="nil"/>
              <w:left w:val="nil"/>
              <w:right w:val="nil"/>
            </w:tcBorders>
          </w:tcPr>
          <w:p w14:paraId="6E394711" w14:textId="77777777" w:rsidR="00745022" w:rsidRPr="00D15390" w:rsidRDefault="00745022" w:rsidP="00B33EBC">
            <w:pPr>
              <w:jc w:val="center"/>
            </w:pPr>
            <w:r>
              <w:t>&gt; 1 year</w:t>
            </w:r>
          </w:p>
        </w:tc>
      </w:tr>
      <w:tr w:rsidR="00745022" w14:paraId="1947F6D5" w14:textId="77777777" w:rsidTr="004B4155">
        <w:trPr>
          <w:trHeight w:val="255"/>
          <w:jc w:val="center"/>
        </w:trPr>
        <w:tc>
          <w:tcPr>
            <w:tcW w:w="1538" w:type="dxa"/>
            <w:tcBorders>
              <w:top w:val="nil"/>
              <w:left w:val="nil"/>
              <w:bottom w:val="single" w:sz="4" w:space="0" w:color="auto"/>
              <w:right w:val="nil"/>
            </w:tcBorders>
            <w:noWrap/>
            <w:vAlign w:val="bottom"/>
          </w:tcPr>
          <w:p w14:paraId="08693E8B" w14:textId="77777777" w:rsidR="00745022" w:rsidRPr="00D15390" w:rsidRDefault="00745022" w:rsidP="00B33EBC">
            <w:pPr>
              <w:jc w:val="center"/>
            </w:pPr>
            <w:r>
              <w:t>Rental home</w:t>
            </w:r>
          </w:p>
        </w:tc>
        <w:tc>
          <w:tcPr>
            <w:tcW w:w="1606" w:type="dxa"/>
            <w:tcBorders>
              <w:top w:val="nil"/>
              <w:left w:val="nil"/>
              <w:bottom w:val="single" w:sz="4" w:space="0" w:color="auto"/>
              <w:right w:val="nil"/>
            </w:tcBorders>
            <w:noWrap/>
            <w:vAlign w:val="bottom"/>
          </w:tcPr>
          <w:p w14:paraId="48910CFF" w14:textId="77777777" w:rsidR="00745022" w:rsidRPr="00D15390" w:rsidRDefault="00745022" w:rsidP="000B44A1">
            <w:pPr>
              <w:jc w:val="center"/>
            </w:pPr>
            <w:r>
              <w:t xml:space="preserve">  300,000*</w:t>
            </w:r>
          </w:p>
        </w:tc>
        <w:tc>
          <w:tcPr>
            <w:tcW w:w="1154" w:type="dxa"/>
            <w:tcBorders>
              <w:top w:val="nil"/>
              <w:left w:val="nil"/>
              <w:bottom w:val="single" w:sz="4" w:space="0" w:color="auto"/>
              <w:right w:val="nil"/>
            </w:tcBorders>
            <w:noWrap/>
            <w:vAlign w:val="bottom"/>
          </w:tcPr>
          <w:p w14:paraId="7FAC7CCE" w14:textId="77777777" w:rsidR="00745022" w:rsidRPr="00D15390" w:rsidRDefault="00745022" w:rsidP="00B33EBC">
            <w:pPr>
              <w:jc w:val="right"/>
            </w:pPr>
            <w:r>
              <w:t>90,000</w:t>
            </w:r>
          </w:p>
        </w:tc>
        <w:tc>
          <w:tcPr>
            <w:tcW w:w="2732" w:type="dxa"/>
            <w:tcBorders>
              <w:top w:val="nil"/>
              <w:left w:val="nil"/>
              <w:bottom w:val="single" w:sz="4" w:space="0" w:color="auto"/>
              <w:right w:val="nil"/>
            </w:tcBorders>
          </w:tcPr>
          <w:p w14:paraId="173CF9CD" w14:textId="77777777" w:rsidR="00745022" w:rsidRPr="00D15390" w:rsidRDefault="00745022" w:rsidP="00B33EBC">
            <w:pPr>
              <w:jc w:val="center"/>
            </w:pPr>
            <w:r>
              <w:t>&gt; 1 year</w:t>
            </w:r>
          </w:p>
        </w:tc>
      </w:tr>
      <w:tr w:rsidR="00745022" w14:paraId="0BA6F3A2" w14:textId="77777777">
        <w:trPr>
          <w:trHeight w:val="255"/>
          <w:jc w:val="center"/>
        </w:trPr>
        <w:tc>
          <w:tcPr>
            <w:tcW w:w="7030" w:type="dxa"/>
            <w:gridSpan w:val="4"/>
            <w:tcBorders>
              <w:top w:val="nil"/>
              <w:left w:val="nil"/>
              <w:bottom w:val="nil"/>
              <w:right w:val="nil"/>
            </w:tcBorders>
            <w:noWrap/>
            <w:vAlign w:val="bottom"/>
          </w:tcPr>
          <w:p w14:paraId="78D4F62F" w14:textId="31764C76" w:rsidR="00745022" w:rsidRDefault="00745022" w:rsidP="00B33EBC">
            <w:r>
              <w:t>*$30,000 of the gain is 25 percent gain (from accumulated depreciation on the property).</w:t>
            </w:r>
          </w:p>
          <w:p w14:paraId="1CF55ABE" w14:textId="77777777" w:rsidR="004B4155" w:rsidRDefault="004B4155" w:rsidP="00B33EBC"/>
        </w:tc>
      </w:tr>
    </w:tbl>
    <w:p w14:paraId="1EDD41B4" w14:textId="30521E1D" w:rsidR="00745022" w:rsidRDefault="00745022" w:rsidP="00C04668">
      <w:pPr>
        <w:pStyle w:val="HangingIndent3"/>
        <w:spacing w:after="0"/>
        <w:ind w:left="720" w:hanging="360"/>
        <w:rPr>
          <w:rFonts w:ascii="Times New Roman" w:hAnsi="Times New Roman"/>
          <w:szCs w:val="24"/>
        </w:rPr>
      </w:pPr>
      <w:r>
        <w:rPr>
          <w:rFonts w:ascii="Times New Roman" w:hAnsi="Times New Roman"/>
          <w:szCs w:val="24"/>
        </w:rPr>
        <w:t>a</w:t>
      </w:r>
      <w:r w:rsidR="000C1A4C">
        <w:rPr>
          <w:rFonts w:ascii="Times New Roman" w:hAnsi="Times New Roman"/>
          <w:szCs w:val="24"/>
        </w:rPr>
        <w:t xml:space="preserve">. </w:t>
      </w:r>
      <w:r>
        <w:rPr>
          <w:rFonts w:ascii="Times New Roman" w:hAnsi="Times New Roman"/>
          <w:szCs w:val="24"/>
        </w:rPr>
        <w:t xml:space="preserve"> Given that Ron and Anne have taxable income of only $20,000 (all ordinary) before considering the tax effect of their asset sales, what is their gross tax liability for </w:t>
      </w:r>
      <w:r w:rsidR="00FA6CBC">
        <w:rPr>
          <w:rFonts w:ascii="Times New Roman" w:hAnsi="Times New Roman"/>
          <w:szCs w:val="24"/>
        </w:rPr>
        <w:t xml:space="preserve">2018 </w:t>
      </w:r>
      <w:r>
        <w:rPr>
          <w:rFonts w:ascii="Times New Roman" w:hAnsi="Times New Roman"/>
          <w:szCs w:val="24"/>
        </w:rPr>
        <w:t>assuming they file a joint return</w:t>
      </w:r>
      <w:r w:rsidRPr="00F55E7D">
        <w:rPr>
          <w:rFonts w:ascii="Times New Roman" w:hAnsi="Times New Roman"/>
          <w:szCs w:val="24"/>
        </w:rPr>
        <w:t>?</w:t>
      </w:r>
    </w:p>
    <w:p w14:paraId="292E648B" w14:textId="77777777" w:rsidR="00724467" w:rsidRDefault="00724467" w:rsidP="00C04668">
      <w:pPr>
        <w:pStyle w:val="HangingIndent3"/>
        <w:spacing w:after="0"/>
        <w:ind w:left="720" w:hanging="360"/>
        <w:rPr>
          <w:rFonts w:ascii="Times New Roman" w:hAnsi="Times New Roman"/>
          <w:szCs w:val="24"/>
        </w:rPr>
      </w:pPr>
    </w:p>
    <w:p w14:paraId="73D3ED47" w14:textId="2D46666D" w:rsidR="00724467" w:rsidRDefault="00724467" w:rsidP="00724467">
      <w:pPr>
        <w:pStyle w:val="HangingIndent3"/>
        <w:spacing w:after="0"/>
        <w:ind w:left="720" w:hanging="360"/>
        <w:rPr>
          <w:rFonts w:ascii="Times New Roman" w:hAnsi="Times New Roman"/>
          <w:szCs w:val="24"/>
        </w:rPr>
      </w:pPr>
      <w:r>
        <w:rPr>
          <w:rFonts w:ascii="Times New Roman" w:hAnsi="Times New Roman"/>
          <w:szCs w:val="24"/>
        </w:rPr>
        <w:t>b</w:t>
      </w:r>
      <w:r w:rsidR="000C1A4C">
        <w:rPr>
          <w:rFonts w:ascii="Times New Roman" w:hAnsi="Times New Roman"/>
          <w:szCs w:val="24"/>
        </w:rPr>
        <w:t xml:space="preserve">. </w:t>
      </w:r>
      <w:r>
        <w:rPr>
          <w:rFonts w:ascii="Times New Roman" w:hAnsi="Times New Roman"/>
          <w:szCs w:val="24"/>
        </w:rPr>
        <w:t xml:space="preserve"> Given that Ron and Anne have taxable income of $</w:t>
      </w:r>
      <w:r w:rsidR="00C14398">
        <w:rPr>
          <w:rFonts w:ascii="Times New Roman" w:hAnsi="Times New Roman"/>
          <w:szCs w:val="24"/>
        </w:rPr>
        <w:t>400</w:t>
      </w:r>
      <w:r>
        <w:rPr>
          <w:rFonts w:ascii="Times New Roman" w:hAnsi="Times New Roman"/>
          <w:szCs w:val="24"/>
        </w:rPr>
        <w:t xml:space="preserve">,000 (all ordinary) before considering the tax effect of their asset sales, what is their gross tax liability for </w:t>
      </w:r>
      <w:r w:rsidR="00FA6CBC">
        <w:rPr>
          <w:rFonts w:ascii="Times New Roman" w:hAnsi="Times New Roman"/>
          <w:szCs w:val="24"/>
        </w:rPr>
        <w:t xml:space="preserve">2018 </w:t>
      </w:r>
      <w:r>
        <w:rPr>
          <w:rFonts w:ascii="Times New Roman" w:hAnsi="Times New Roman"/>
          <w:szCs w:val="24"/>
        </w:rPr>
        <w:t>assuming they file a joint return?</w:t>
      </w:r>
    </w:p>
    <w:p w14:paraId="2442B342" w14:textId="77777777" w:rsidR="00745022" w:rsidRDefault="00745022" w:rsidP="00C04668">
      <w:pPr>
        <w:pStyle w:val="HangingIndent3"/>
        <w:spacing w:after="0"/>
        <w:ind w:left="720" w:hanging="360"/>
        <w:rPr>
          <w:rFonts w:ascii="Times New Roman" w:hAnsi="Times New Roman"/>
          <w:b/>
          <w:szCs w:val="24"/>
        </w:rPr>
      </w:pPr>
    </w:p>
    <w:p w14:paraId="314D734E" w14:textId="77777777" w:rsidR="008B5995" w:rsidRDefault="008B5995" w:rsidP="00C04668">
      <w:pPr>
        <w:pStyle w:val="HangingIndent3"/>
        <w:spacing w:after="0"/>
        <w:ind w:left="720" w:hanging="360"/>
        <w:rPr>
          <w:rFonts w:ascii="Times New Roman" w:hAnsi="Times New Roman"/>
          <w:b/>
          <w:szCs w:val="24"/>
        </w:rPr>
      </w:pPr>
    </w:p>
    <w:p w14:paraId="034D5680" w14:textId="77777777" w:rsidR="008B5995" w:rsidRPr="00724467" w:rsidRDefault="008B5995" w:rsidP="00C04668">
      <w:pPr>
        <w:pStyle w:val="HangingIndent3"/>
        <w:spacing w:after="0"/>
        <w:ind w:left="720" w:hanging="360"/>
        <w:rPr>
          <w:rFonts w:ascii="Times New Roman" w:hAnsi="Times New Roman"/>
          <w:b/>
          <w:szCs w:val="24"/>
        </w:rPr>
      </w:pPr>
    </w:p>
    <w:p w14:paraId="2DE3A533" w14:textId="77777777" w:rsidR="00745022" w:rsidRPr="00C80019" w:rsidRDefault="004B4155" w:rsidP="004B4155">
      <w:pPr>
        <w:pStyle w:val="HangingIndent3"/>
        <w:spacing w:after="0" w:line="360" w:lineRule="auto"/>
        <w:ind w:left="360" w:firstLine="0"/>
        <w:rPr>
          <w:rFonts w:ascii="Times New Roman" w:hAnsi="Times New Roman"/>
          <w:i/>
          <w:szCs w:val="24"/>
        </w:rPr>
      </w:pPr>
      <w:r w:rsidRPr="004B4155">
        <w:rPr>
          <w:rFonts w:ascii="Times New Roman" w:hAnsi="Times New Roman"/>
          <w:i/>
          <w:szCs w:val="24"/>
        </w:rPr>
        <w:t>a.</w:t>
      </w:r>
      <w:r>
        <w:rPr>
          <w:rFonts w:ascii="Times New Roman" w:hAnsi="Times New Roman"/>
          <w:szCs w:val="24"/>
        </w:rPr>
        <w:tab/>
      </w:r>
      <w:r w:rsidR="00745022" w:rsidRPr="00C80019">
        <w:rPr>
          <w:rFonts w:ascii="Times New Roman" w:hAnsi="Times New Roman"/>
          <w:i/>
          <w:szCs w:val="24"/>
        </w:rPr>
        <w:t>Ron and Anne’s netting process is reflected in the following 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1380"/>
        <w:gridCol w:w="1440"/>
        <w:gridCol w:w="1530"/>
        <w:gridCol w:w="1530"/>
      </w:tblGrid>
      <w:tr w:rsidR="00C7034D" w:rsidRPr="000A6D89" w14:paraId="56C92CAB" w14:textId="77777777" w:rsidTr="00C711D8">
        <w:tc>
          <w:tcPr>
            <w:tcW w:w="1680" w:type="dxa"/>
          </w:tcPr>
          <w:p w14:paraId="3D11A228" w14:textId="77777777" w:rsidR="00C7034D" w:rsidRDefault="00C7034D" w:rsidP="004B4155">
            <w:pPr>
              <w:pStyle w:val="HangingIndent3"/>
              <w:spacing w:after="0"/>
              <w:ind w:left="0" w:firstLine="0"/>
              <w:jc w:val="center"/>
              <w:rPr>
                <w:rFonts w:ascii="Times New Roman" w:hAnsi="Times New Roman"/>
                <w:b/>
                <w:i/>
                <w:szCs w:val="24"/>
              </w:rPr>
            </w:pPr>
          </w:p>
          <w:p w14:paraId="11454E2D" w14:textId="77777777" w:rsidR="00C7034D" w:rsidRPr="000A6D89" w:rsidRDefault="00C7034D" w:rsidP="004B4155">
            <w:pPr>
              <w:pStyle w:val="HangingIndent3"/>
              <w:spacing w:after="0"/>
              <w:ind w:left="0" w:firstLine="0"/>
              <w:jc w:val="center"/>
              <w:rPr>
                <w:rFonts w:ascii="Times New Roman" w:hAnsi="Times New Roman"/>
                <w:b/>
                <w:i/>
                <w:szCs w:val="24"/>
              </w:rPr>
            </w:pPr>
            <w:r w:rsidRPr="000A6D89">
              <w:rPr>
                <w:rFonts w:ascii="Times New Roman" w:hAnsi="Times New Roman"/>
                <w:b/>
                <w:i/>
                <w:szCs w:val="24"/>
              </w:rPr>
              <w:t>Description</w:t>
            </w:r>
          </w:p>
        </w:tc>
        <w:tc>
          <w:tcPr>
            <w:tcW w:w="1380" w:type="dxa"/>
          </w:tcPr>
          <w:p w14:paraId="494A28F2" w14:textId="77777777" w:rsidR="00C7034D" w:rsidRDefault="00C7034D" w:rsidP="004B4155">
            <w:pPr>
              <w:pStyle w:val="HangingIndent3"/>
              <w:spacing w:after="0"/>
              <w:ind w:left="0" w:firstLine="0"/>
              <w:jc w:val="center"/>
              <w:rPr>
                <w:rFonts w:ascii="Times New Roman" w:hAnsi="Times New Roman"/>
                <w:b/>
                <w:i/>
                <w:szCs w:val="24"/>
              </w:rPr>
            </w:pPr>
          </w:p>
          <w:p w14:paraId="2AD4D41D" w14:textId="77777777" w:rsidR="00C7034D" w:rsidRPr="000A6D89" w:rsidRDefault="00C7034D" w:rsidP="004B4155">
            <w:pPr>
              <w:pStyle w:val="HangingIndent3"/>
              <w:spacing w:after="0"/>
              <w:ind w:left="0" w:firstLine="0"/>
              <w:jc w:val="center"/>
              <w:rPr>
                <w:rFonts w:ascii="Times New Roman" w:hAnsi="Times New Roman"/>
                <w:b/>
                <w:i/>
                <w:szCs w:val="24"/>
              </w:rPr>
            </w:pPr>
            <w:r w:rsidRPr="000A6D89">
              <w:rPr>
                <w:rFonts w:ascii="Times New Roman" w:hAnsi="Times New Roman"/>
                <w:b/>
                <w:i/>
                <w:szCs w:val="24"/>
              </w:rPr>
              <w:t>Short-Term</w:t>
            </w:r>
          </w:p>
        </w:tc>
        <w:tc>
          <w:tcPr>
            <w:tcW w:w="1440" w:type="dxa"/>
          </w:tcPr>
          <w:p w14:paraId="1C3E5BFA" w14:textId="77777777" w:rsidR="00C7034D" w:rsidRPr="000A6D89" w:rsidRDefault="00C7034D" w:rsidP="004B4155">
            <w:pPr>
              <w:pStyle w:val="HangingIndent3"/>
              <w:spacing w:after="0"/>
              <w:ind w:left="0" w:firstLine="0"/>
              <w:jc w:val="center"/>
              <w:rPr>
                <w:rFonts w:ascii="Times New Roman" w:hAnsi="Times New Roman"/>
                <w:b/>
                <w:i/>
                <w:szCs w:val="24"/>
              </w:rPr>
            </w:pPr>
            <w:r w:rsidRPr="000A6D89">
              <w:rPr>
                <w:rFonts w:ascii="Times New Roman" w:hAnsi="Times New Roman"/>
                <w:b/>
                <w:i/>
                <w:szCs w:val="24"/>
              </w:rPr>
              <w:t>Long-Term</w:t>
            </w:r>
          </w:p>
          <w:p w14:paraId="1F5B4F7A" w14:textId="77777777" w:rsidR="00C7034D" w:rsidRPr="000A6D89" w:rsidRDefault="00C7034D" w:rsidP="004B4155">
            <w:pPr>
              <w:pStyle w:val="HangingIndent3"/>
              <w:spacing w:after="0"/>
              <w:ind w:left="0" w:firstLine="0"/>
              <w:jc w:val="center"/>
              <w:rPr>
                <w:rFonts w:ascii="Times New Roman" w:hAnsi="Times New Roman"/>
                <w:b/>
                <w:i/>
                <w:szCs w:val="24"/>
              </w:rPr>
            </w:pPr>
            <w:r w:rsidRPr="000A6D89">
              <w:rPr>
                <w:rFonts w:ascii="Times New Roman" w:hAnsi="Times New Roman"/>
                <w:b/>
                <w:i/>
                <w:szCs w:val="24"/>
              </w:rPr>
              <w:t>28%</w:t>
            </w:r>
          </w:p>
        </w:tc>
        <w:tc>
          <w:tcPr>
            <w:tcW w:w="1530" w:type="dxa"/>
          </w:tcPr>
          <w:p w14:paraId="0D04C401" w14:textId="77777777" w:rsidR="00C7034D" w:rsidRPr="000A6D89" w:rsidRDefault="00C7034D" w:rsidP="004B4155">
            <w:pPr>
              <w:pStyle w:val="HangingIndent3"/>
              <w:spacing w:after="0"/>
              <w:ind w:left="0" w:firstLine="0"/>
              <w:jc w:val="center"/>
              <w:rPr>
                <w:rFonts w:ascii="Times New Roman" w:hAnsi="Times New Roman"/>
                <w:b/>
                <w:i/>
                <w:szCs w:val="24"/>
              </w:rPr>
            </w:pPr>
            <w:r w:rsidRPr="000A6D89">
              <w:rPr>
                <w:rFonts w:ascii="Times New Roman" w:hAnsi="Times New Roman"/>
                <w:b/>
                <w:i/>
                <w:szCs w:val="24"/>
              </w:rPr>
              <w:t>Long-Term</w:t>
            </w:r>
          </w:p>
          <w:p w14:paraId="0AE01530" w14:textId="77777777" w:rsidR="00C7034D" w:rsidRPr="000A6D89" w:rsidRDefault="00C7034D" w:rsidP="004B4155">
            <w:pPr>
              <w:pStyle w:val="HangingIndent3"/>
              <w:spacing w:after="0"/>
              <w:ind w:left="0" w:firstLine="0"/>
              <w:jc w:val="center"/>
              <w:rPr>
                <w:rFonts w:ascii="Times New Roman" w:hAnsi="Times New Roman"/>
                <w:b/>
                <w:i/>
                <w:szCs w:val="24"/>
              </w:rPr>
            </w:pPr>
            <w:r w:rsidRPr="000A6D89">
              <w:rPr>
                <w:rFonts w:ascii="Times New Roman" w:hAnsi="Times New Roman"/>
                <w:b/>
                <w:i/>
                <w:szCs w:val="24"/>
              </w:rPr>
              <w:t>25%</w:t>
            </w:r>
          </w:p>
        </w:tc>
        <w:tc>
          <w:tcPr>
            <w:tcW w:w="1530" w:type="dxa"/>
          </w:tcPr>
          <w:p w14:paraId="5199761A" w14:textId="77777777" w:rsidR="00C7034D" w:rsidRPr="000A6D89" w:rsidRDefault="00C7034D" w:rsidP="004B4155">
            <w:pPr>
              <w:pStyle w:val="HangingIndent3"/>
              <w:spacing w:after="0"/>
              <w:ind w:left="0" w:firstLine="0"/>
              <w:jc w:val="center"/>
              <w:rPr>
                <w:rFonts w:ascii="Times New Roman" w:hAnsi="Times New Roman"/>
                <w:b/>
                <w:i/>
                <w:szCs w:val="24"/>
              </w:rPr>
            </w:pPr>
            <w:r w:rsidRPr="000A6D89">
              <w:rPr>
                <w:rFonts w:ascii="Times New Roman" w:hAnsi="Times New Roman"/>
                <w:b/>
                <w:i/>
                <w:szCs w:val="24"/>
              </w:rPr>
              <w:t>Long-Term</w:t>
            </w:r>
          </w:p>
          <w:p w14:paraId="0754AEF9" w14:textId="77777777" w:rsidR="00C7034D" w:rsidRPr="000A6D89" w:rsidRDefault="00C7034D" w:rsidP="004B4155">
            <w:pPr>
              <w:pStyle w:val="HangingIndent3"/>
              <w:spacing w:after="0"/>
              <w:ind w:left="0" w:firstLine="0"/>
              <w:jc w:val="center"/>
              <w:rPr>
                <w:rFonts w:ascii="Times New Roman" w:hAnsi="Times New Roman"/>
                <w:b/>
                <w:i/>
                <w:szCs w:val="24"/>
              </w:rPr>
            </w:pPr>
            <w:r>
              <w:rPr>
                <w:rFonts w:ascii="Times New Roman" w:hAnsi="Times New Roman"/>
                <w:b/>
                <w:i/>
                <w:szCs w:val="24"/>
              </w:rPr>
              <w:t>0/15/20</w:t>
            </w:r>
            <w:r w:rsidRPr="000A6D89">
              <w:rPr>
                <w:rFonts w:ascii="Times New Roman" w:hAnsi="Times New Roman"/>
                <w:b/>
                <w:i/>
                <w:szCs w:val="24"/>
              </w:rPr>
              <w:t>%</w:t>
            </w:r>
          </w:p>
        </w:tc>
      </w:tr>
      <w:tr w:rsidR="00C7034D" w:rsidRPr="000A6D89" w14:paraId="69FEFF91" w14:textId="77777777" w:rsidTr="00C711D8">
        <w:tc>
          <w:tcPr>
            <w:tcW w:w="1680" w:type="dxa"/>
          </w:tcPr>
          <w:p w14:paraId="7EC38E62" w14:textId="77777777" w:rsidR="00C7034D" w:rsidRPr="000A6D89" w:rsidRDefault="00C7034D" w:rsidP="004B4155">
            <w:pPr>
              <w:pStyle w:val="HangingIndent3"/>
              <w:spacing w:after="0"/>
              <w:ind w:left="0" w:firstLine="0"/>
              <w:rPr>
                <w:rFonts w:ascii="Times New Roman" w:hAnsi="Times New Roman"/>
                <w:i/>
                <w:szCs w:val="24"/>
              </w:rPr>
            </w:pPr>
            <w:r w:rsidRPr="000A6D89">
              <w:rPr>
                <w:rFonts w:ascii="Times New Roman" w:hAnsi="Times New Roman"/>
                <w:i/>
                <w:szCs w:val="24"/>
              </w:rPr>
              <w:t>Stock N</w:t>
            </w:r>
          </w:p>
        </w:tc>
        <w:tc>
          <w:tcPr>
            <w:tcW w:w="1380" w:type="dxa"/>
          </w:tcPr>
          <w:p w14:paraId="2F3A45E1" w14:textId="77777777" w:rsidR="00C7034D" w:rsidRPr="000A6D89" w:rsidRDefault="00C7034D" w:rsidP="00C711D8">
            <w:pPr>
              <w:pStyle w:val="HangingIndent3"/>
              <w:spacing w:after="0"/>
              <w:ind w:left="0" w:firstLine="0"/>
              <w:jc w:val="center"/>
              <w:rPr>
                <w:rFonts w:ascii="Times New Roman" w:hAnsi="Times New Roman"/>
                <w:i/>
                <w:szCs w:val="24"/>
              </w:rPr>
            </w:pPr>
            <w:r w:rsidRPr="000A6D89">
              <w:rPr>
                <w:rFonts w:ascii="Times New Roman" w:hAnsi="Times New Roman"/>
                <w:i/>
                <w:szCs w:val="24"/>
              </w:rPr>
              <w:t>$8,000</w:t>
            </w:r>
          </w:p>
        </w:tc>
        <w:tc>
          <w:tcPr>
            <w:tcW w:w="1440" w:type="dxa"/>
          </w:tcPr>
          <w:p w14:paraId="7916DB81" w14:textId="77777777" w:rsidR="00C7034D" w:rsidRPr="000A6D89" w:rsidRDefault="00C7034D" w:rsidP="00C711D8">
            <w:pPr>
              <w:pStyle w:val="HangingIndent3"/>
              <w:spacing w:after="0"/>
              <w:ind w:left="0" w:firstLine="0"/>
              <w:jc w:val="center"/>
              <w:rPr>
                <w:rFonts w:ascii="Times New Roman" w:hAnsi="Times New Roman"/>
                <w:i/>
                <w:szCs w:val="24"/>
              </w:rPr>
            </w:pPr>
          </w:p>
        </w:tc>
        <w:tc>
          <w:tcPr>
            <w:tcW w:w="1530" w:type="dxa"/>
          </w:tcPr>
          <w:p w14:paraId="7CEFD8D3" w14:textId="77777777" w:rsidR="00C7034D" w:rsidRPr="000A6D89" w:rsidRDefault="00C7034D" w:rsidP="00C711D8">
            <w:pPr>
              <w:pStyle w:val="HangingIndent3"/>
              <w:spacing w:after="0"/>
              <w:ind w:left="0" w:firstLine="0"/>
              <w:jc w:val="center"/>
              <w:rPr>
                <w:rFonts w:ascii="Times New Roman" w:hAnsi="Times New Roman"/>
                <w:i/>
                <w:szCs w:val="24"/>
              </w:rPr>
            </w:pPr>
          </w:p>
        </w:tc>
        <w:tc>
          <w:tcPr>
            <w:tcW w:w="1530" w:type="dxa"/>
          </w:tcPr>
          <w:p w14:paraId="185E0553" w14:textId="77777777" w:rsidR="00C7034D" w:rsidRPr="000A6D89" w:rsidRDefault="00C7034D" w:rsidP="00C711D8">
            <w:pPr>
              <w:pStyle w:val="HangingIndent3"/>
              <w:spacing w:after="0"/>
              <w:ind w:left="0" w:firstLine="0"/>
              <w:jc w:val="center"/>
              <w:rPr>
                <w:rFonts w:ascii="Times New Roman" w:hAnsi="Times New Roman"/>
                <w:i/>
                <w:szCs w:val="24"/>
              </w:rPr>
            </w:pPr>
          </w:p>
        </w:tc>
      </w:tr>
      <w:tr w:rsidR="00C7034D" w:rsidRPr="000A6D89" w14:paraId="28697AC2" w14:textId="77777777" w:rsidTr="00C711D8">
        <w:tc>
          <w:tcPr>
            <w:tcW w:w="1680" w:type="dxa"/>
          </w:tcPr>
          <w:p w14:paraId="769F4347" w14:textId="77777777" w:rsidR="00C7034D" w:rsidRPr="000A6D89" w:rsidRDefault="00C7034D" w:rsidP="004B4155">
            <w:pPr>
              <w:pStyle w:val="HangingIndent3"/>
              <w:spacing w:after="0"/>
              <w:ind w:left="0" w:firstLine="0"/>
              <w:rPr>
                <w:rFonts w:ascii="Times New Roman" w:hAnsi="Times New Roman"/>
                <w:i/>
                <w:szCs w:val="24"/>
              </w:rPr>
            </w:pPr>
            <w:r w:rsidRPr="000A6D89">
              <w:rPr>
                <w:rFonts w:ascii="Times New Roman" w:hAnsi="Times New Roman"/>
                <w:i/>
                <w:szCs w:val="24"/>
              </w:rPr>
              <w:t>Stock O</w:t>
            </w:r>
          </w:p>
        </w:tc>
        <w:tc>
          <w:tcPr>
            <w:tcW w:w="1380" w:type="dxa"/>
          </w:tcPr>
          <w:p w14:paraId="56E4E052" w14:textId="77777777" w:rsidR="00C7034D" w:rsidRPr="000A6D89" w:rsidRDefault="00C7034D" w:rsidP="00C711D8">
            <w:pPr>
              <w:pStyle w:val="HangingIndent3"/>
              <w:spacing w:after="0"/>
              <w:ind w:left="0" w:firstLine="0"/>
              <w:jc w:val="center"/>
              <w:rPr>
                <w:rFonts w:ascii="Times New Roman" w:hAnsi="Times New Roman"/>
                <w:i/>
                <w:szCs w:val="24"/>
                <w:u w:val="single"/>
              </w:rPr>
            </w:pPr>
            <w:r w:rsidRPr="000A6D89">
              <w:rPr>
                <w:rFonts w:ascii="Times New Roman" w:hAnsi="Times New Roman"/>
                <w:i/>
                <w:szCs w:val="24"/>
                <w:u w:val="single"/>
              </w:rPr>
              <w:t>$(7,000)</w:t>
            </w:r>
          </w:p>
        </w:tc>
        <w:tc>
          <w:tcPr>
            <w:tcW w:w="1440" w:type="dxa"/>
          </w:tcPr>
          <w:p w14:paraId="024480E3" w14:textId="77777777" w:rsidR="00C7034D" w:rsidRPr="000A6D89" w:rsidRDefault="00C7034D" w:rsidP="00C711D8">
            <w:pPr>
              <w:pStyle w:val="HangingIndent3"/>
              <w:spacing w:after="0"/>
              <w:ind w:left="0" w:firstLine="0"/>
              <w:jc w:val="center"/>
              <w:rPr>
                <w:rFonts w:ascii="Times New Roman" w:hAnsi="Times New Roman"/>
                <w:i/>
                <w:szCs w:val="24"/>
              </w:rPr>
            </w:pPr>
          </w:p>
        </w:tc>
        <w:tc>
          <w:tcPr>
            <w:tcW w:w="1530" w:type="dxa"/>
          </w:tcPr>
          <w:p w14:paraId="19113C4A" w14:textId="77777777" w:rsidR="00C7034D" w:rsidRPr="000A6D89" w:rsidRDefault="00C7034D" w:rsidP="00C711D8">
            <w:pPr>
              <w:pStyle w:val="HangingIndent3"/>
              <w:spacing w:after="0"/>
              <w:ind w:left="0" w:firstLine="0"/>
              <w:jc w:val="center"/>
              <w:rPr>
                <w:rFonts w:ascii="Times New Roman" w:hAnsi="Times New Roman"/>
                <w:i/>
                <w:szCs w:val="24"/>
              </w:rPr>
            </w:pPr>
          </w:p>
        </w:tc>
        <w:tc>
          <w:tcPr>
            <w:tcW w:w="1530" w:type="dxa"/>
          </w:tcPr>
          <w:p w14:paraId="4542A2B9" w14:textId="77777777" w:rsidR="00C7034D" w:rsidRPr="000A6D89" w:rsidRDefault="00C7034D" w:rsidP="00C711D8">
            <w:pPr>
              <w:pStyle w:val="HangingIndent3"/>
              <w:spacing w:after="0"/>
              <w:ind w:left="0" w:firstLine="0"/>
              <w:jc w:val="center"/>
              <w:rPr>
                <w:rFonts w:ascii="Times New Roman" w:hAnsi="Times New Roman"/>
                <w:i/>
                <w:szCs w:val="24"/>
              </w:rPr>
            </w:pPr>
          </w:p>
        </w:tc>
      </w:tr>
      <w:tr w:rsidR="00C7034D" w:rsidRPr="000A6D89" w14:paraId="4D717051" w14:textId="77777777" w:rsidTr="00C711D8">
        <w:tc>
          <w:tcPr>
            <w:tcW w:w="1680" w:type="dxa"/>
          </w:tcPr>
          <w:p w14:paraId="71973F5D" w14:textId="77777777" w:rsidR="00C7034D" w:rsidRPr="000A6D89" w:rsidRDefault="00C7034D" w:rsidP="004B4155">
            <w:pPr>
              <w:pStyle w:val="HangingIndent3"/>
              <w:spacing w:after="0"/>
              <w:ind w:left="0" w:firstLine="0"/>
              <w:rPr>
                <w:rFonts w:ascii="Times New Roman" w:hAnsi="Times New Roman"/>
                <w:b/>
                <w:i/>
                <w:szCs w:val="24"/>
              </w:rPr>
            </w:pPr>
            <w:r w:rsidRPr="000A6D89">
              <w:rPr>
                <w:rFonts w:ascii="Times New Roman" w:hAnsi="Times New Roman"/>
                <w:b/>
                <w:i/>
                <w:szCs w:val="24"/>
              </w:rPr>
              <w:t>Step 1:</w:t>
            </w:r>
          </w:p>
        </w:tc>
        <w:tc>
          <w:tcPr>
            <w:tcW w:w="1380" w:type="dxa"/>
          </w:tcPr>
          <w:p w14:paraId="5266B949" w14:textId="0518E902" w:rsidR="00C7034D" w:rsidRPr="000A6D89" w:rsidRDefault="00C7034D">
            <w:pPr>
              <w:pStyle w:val="HangingIndent3"/>
              <w:spacing w:after="0"/>
              <w:ind w:left="0" w:firstLine="0"/>
              <w:jc w:val="center"/>
              <w:rPr>
                <w:rFonts w:ascii="Times New Roman" w:hAnsi="Times New Roman"/>
                <w:i/>
                <w:szCs w:val="24"/>
              </w:rPr>
            </w:pPr>
            <w:r w:rsidRPr="000A6D89">
              <w:rPr>
                <w:rFonts w:ascii="Times New Roman" w:hAnsi="Times New Roman"/>
                <w:i/>
                <w:szCs w:val="24"/>
              </w:rPr>
              <w:t>$1,000</w:t>
            </w:r>
          </w:p>
        </w:tc>
        <w:tc>
          <w:tcPr>
            <w:tcW w:w="1440" w:type="dxa"/>
          </w:tcPr>
          <w:p w14:paraId="0DC01E06" w14:textId="77777777" w:rsidR="00C7034D" w:rsidRPr="000A6D89" w:rsidDel="009F44B0" w:rsidRDefault="00C7034D" w:rsidP="00C711D8">
            <w:pPr>
              <w:pStyle w:val="HangingIndent3"/>
              <w:spacing w:after="0"/>
              <w:ind w:left="0" w:firstLine="0"/>
              <w:jc w:val="center"/>
              <w:rPr>
                <w:rFonts w:ascii="Times New Roman" w:hAnsi="Times New Roman"/>
                <w:i/>
                <w:szCs w:val="24"/>
              </w:rPr>
            </w:pPr>
          </w:p>
        </w:tc>
        <w:tc>
          <w:tcPr>
            <w:tcW w:w="1530" w:type="dxa"/>
          </w:tcPr>
          <w:p w14:paraId="1E4C8CFF" w14:textId="77777777" w:rsidR="00C7034D" w:rsidRPr="000A6D89" w:rsidRDefault="00C7034D" w:rsidP="00C711D8">
            <w:pPr>
              <w:pStyle w:val="HangingIndent3"/>
              <w:spacing w:after="0"/>
              <w:ind w:left="0" w:firstLine="0"/>
              <w:jc w:val="center"/>
              <w:rPr>
                <w:rFonts w:ascii="Times New Roman" w:hAnsi="Times New Roman"/>
                <w:i/>
                <w:szCs w:val="24"/>
              </w:rPr>
            </w:pPr>
          </w:p>
        </w:tc>
        <w:tc>
          <w:tcPr>
            <w:tcW w:w="1530" w:type="dxa"/>
          </w:tcPr>
          <w:p w14:paraId="79C9CAAE" w14:textId="77777777" w:rsidR="00C7034D" w:rsidRPr="000A6D89" w:rsidRDefault="00C7034D" w:rsidP="00C711D8">
            <w:pPr>
              <w:pStyle w:val="HangingIndent3"/>
              <w:spacing w:after="0"/>
              <w:ind w:left="0" w:firstLine="0"/>
              <w:jc w:val="center"/>
              <w:rPr>
                <w:rFonts w:ascii="Times New Roman" w:hAnsi="Times New Roman"/>
                <w:i/>
                <w:szCs w:val="24"/>
              </w:rPr>
            </w:pPr>
          </w:p>
        </w:tc>
      </w:tr>
      <w:tr w:rsidR="00C7034D" w:rsidRPr="000A6D89" w14:paraId="7165567B" w14:textId="77777777" w:rsidTr="00C711D8">
        <w:tc>
          <w:tcPr>
            <w:tcW w:w="1680" w:type="dxa"/>
          </w:tcPr>
          <w:p w14:paraId="13EEBE0D" w14:textId="77777777" w:rsidR="00C7034D" w:rsidRPr="000A6D89" w:rsidRDefault="00C7034D" w:rsidP="004B4155">
            <w:pPr>
              <w:pStyle w:val="HangingIndent3"/>
              <w:spacing w:after="0"/>
              <w:ind w:left="0" w:firstLine="0"/>
              <w:rPr>
                <w:rFonts w:ascii="Times New Roman" w:hAnsi="Times New Roman"/>
                <w:i/>
                <w:szCs w:val="24"/>
              </w:rPr>
            </w:pPr>
            <w:r w:rsidRPr="000A6D89">
              <w:rPr>
                <w:rFonts w:ascii="Times New Roman" w:hAnsi="Times New Roman"/>
                <w:i/>
                <w:szCs w:val="24"/>
              </w:rPr>
              <w:t>Antiques</w:t>
            </w:r>
          </w:p>
        </w:tc>
        <w:tc>
          <w:tcPr>
            <w:tcW w:w="1380" w:type="dxa"/>
          </w:tcPr>
          <w:p w14:paraId="48FDBE68" w14:textId="77777777" w:rsidR="00C7034D" w:rsidRPr="000A6D89" w:rsidRDefault="00C7034D" w:rsidP="00C711D8">
            <w:pPr>
              <w:pStyle w:val="HangingIndent3"/>
              <w:spacing w:after="0"/>
              <w:ind w:left="0" w:firstLine="0"/>
              <w:jc w:val="center"/>
              <w:rPr>
                <w:rFonts w:ascii="Times New Roman" w:hAnsi="Times New Roman"/>
                <w:i/>
                <w:szCs w:val="24"/>
              </w:rPr>
            </w:pPr>
          </w:p>
        </w:tc>
        <w:tc>
          <w:tcPr>
            <w:tcW w:w="1440" w:type="dxa"/>
          </w:tcPr>
          <w:p w14:paraId="1305EB5A" w14:textId="77777777" w:rsidR="00C7034D" w:rsidRPr="000A6D89" w:rsidRDefault="00C7034D" w:rsidP="00C711D8">
            <w:pPr>
              <w:pStyle w:val="HangingIndent3"/>
              <w:spacing w:after="0"/>
              <w:ind w:left="0" w:firstLine="0"/>
              <w:jc w:val="center"/>
              <w:rPr>
                <w:rFonts w:ascii="Times New Roman" w:hAnsi="Times New Roman"/>
                <w:i/>
                <w:szCs w:val="24"/>
                <w:u w:val="single"/>
              </w:rPr>
            </w:pPr>
            <w:r w:rsidRPr="000A6D89">
              <w:rPr>
                <w:rFonts w:ascii="Times New Roman" w:hAnsi="Times New Roman"/>
                <w:i/>
                <w:szCs w:val="24"/>
                <w:u w:val="single"/>
              </w:rPr>
              <w:t>$3,000</w:t>
            </w:r>
          </w:p>
        </w:tc>
        <w:tc>
          <w:tcPr>
            <w:tcW w:w="1530" w:type="dxa"/>
          </w:tcPr>
          <w:p w14:paraId="652291DE" w14:textId="77777777" w:rsidR="00C7034D" w:rsidRPr="000A6D89" w:rsidRDefault="00C7034D" w:rsidP="00C711D8">
            <w:pPr>
              <w:pStyle w:val="HangingIndent3"/>
              <w:spacing w:after="0"/>
              <w:ind w:left="0" w:firstLine="0"/>
              <w:jc w:val="center"/>
              <w:rPr>
                <w:rFonts w:ascii="Times New Roman" w:hAnsi="Times New Roman"/>
                <w:i/>
                <w:szCs w:val="24"/>
              </w:rPr>
            </w:pPr>
          </w:p>
        </w:tc>
        <w:tc>
          <w:tcPr>
            <w:tcW w:w="1530" w:type="dxa"/>
          </w:tcPr>
          <w:p w14:paraId="7A42D7FF" w14:textId="77777777" w:rsidR="00C7034D" w:rsidRPr="000A6D89" w:rsidRDefault="00C7034D" w:rsidP="00C711D8">
            <w:pPr>
              <w:pStyle w:val="HangingIndent3"/>
              <w:spacing w:after="0"/>
              <w:ind w:left="0" w:firstLine="0"/>
              <w:jc w:val="center"/>
              <w:rPr>
                <w:rFonts w:ascii="Times New Roman" w:hAnsi="Times New Roman"/>
                <w:i/>
                <w:szCs w:val="24"/>
              </w:rPr>
            </w:pPr>
          </w:p>
        </w:tc>
      </w:tr>
      <w:tr w:rsidR="00C7034D" w:rsidRPr="000A6D89" w14:paraId="258E8B3A" w14:textId="77777777" w:rsidTr="00C711D8">
        <w:tc>
          <w:tcPr>
            <w:tcW w:w="1680" w:type="dxa"/>
          </w:tcPr>
          <w:p w14:paraId="57B3AED5" w14:textId="77777777" w:rsidR="00C7034D" w:rsidRPr="000A6D89" w:rsidRDefault="00C7034D" w:rsidP="004B4155">
            <w:pPr>
              <w:pStyle w:val="HangingIndent3"/>
              <w:spacing w:after="0"/>
              <w:ind w:left="0" w:firstLine="0"/>
              <w:rPr>
                <w:rFonts w:ascii="Times New Roman" w:hAnsi="Times New Roman"/>
                <w:i/>
                <w:szCs w:val="24"/>
              </w:rPr>
            </w:pPr>
            <w:r w:rsidRPr="000A6D89">
              <w:rPr>
                <w:rFonts w:ascii="Times New Roman" w:hAnsi="Times New Roman"/>
                <w:i/>
                <w:szCs w:val="24"/>
              </w:rPr>
              <w:t>Unrecaptured §1250 Gain</w:t>
            </w:r>
          </w:p>
        </w:tc>
        <w:tc>
          <w:tcPr>
            <w:tcW w:w="1380" w:type="dxa"/>
          </w:tcPr>
          <w:p w14:paraId="23470EDA" w14:textId="77777777" w:rsidR="00C7034D" w:rsidRPr="000A6D89" w:rsidRDefault="00C7034D" w:rsidP="00C711D8">
            <w:pPr>
              <w:pStyle w:val="HangingIndent3"/>
              <w:spacing w:after="0"/>
              <w:ind w:left="0" w:firstLine="0"/>
              <w:jc w:val="center"/>
              <w:rPr>
                <w:rFonts w:ascii="Times New Roman" w:hAnsi="Times New Roman"/>
                <w:i/>
                <w:szCs w:val="24"/>
              </w:rPr>
            </w:pPr>
          </w:p>
        </w:tc>
        <w:tc>
          <w:tcPr>
            <w:tcW w:w="1440" w:type="dxa"/>
          </w:tcPr>
          <w:p w14:paraId="52E08332" w14:textId="77777777" w:rsidR="00C7034D" w:rsidRPr="000A6D89" w:rsidRDefault="00C7034D" w:rsidP="00C711D8">
            <w:pPr>
              <w:pStyle w:val="HangingIndent3"/>
              <w:spacing w:after="0"/>
              <w:ind w:left="0" w:firstLine="0"/>
              <w:jc w:val="center"/>
              <w:rPr>
                <w:rFonts w:ascii="Times New Roman" w:hAnsi="Times New Roman"/>
                <w:i/>
                <w:szCs w:val="24"/>
              </w:rPr>
            </w:pPr>
          </w:p>
        </w:tc>
        <w:tc>
          <w:tcPr>
            <w:tcW w:w="1530" w:type="dxa"/>
          </w:tcPr>
          <w:p w14:paraId="0A15F8E6" w14:textId="77777777" w:rsidR="00C7034D" w:rsidRPr="000A6D89" w:rsidRDefault="00C7034D" w:rsidP="00C711D8">
            <w:pPr>
              <w:pStyle w:val="HangingIndent3"/>
              <w:spacing w:after="0"/>
              <w:ind w:left="0" w:firstLine="0"/>
              <w:jc w:val="center"/>
              <w:rPr>
                <w:rFonts w:ascii="Times New Roman" w:hAnsi="Times New Roman"/>
                <w:i/>
                <w:szCs w:val="24"/>
                <w:u w:val="single"/>
              </w:rPr>
            </w:pPr>
            <w:r w:rsidRPr="000A6D89">
              <w:rPr>
                <w:rFonts w:ascii="Times New Roman" w:hAnsi="Times New Roman"/>
                <w:i/>
                <w:szCs w:val="24"/>
                <w:u w:val="single"/>
              </w:rPr>
              <w:t>$30,000</w:t>
            </w:r>
          </w:p>
        </w:tc>
        <w:tc>
          <w:tcPr>
            <w:tcW w:w="1530" w:type="dxa"/>
          </w:tcPr>
          <w:p w14:paraId="07FA39F8" w14:textId="77777777" w:rsidR="00C7034D" w:rsidRPr="000A6D89" w:rsidRDefault="00C7034D" w:rsidP="00C711D8">
            <w:pPr>
              <w:pStyle w:val="HangingIndent3"/>
              <w:spacing w:after="0"/>
              <w:ind w:left="0" w:firstLine="0"/>
              <w:jc w:val="center"/>
              <w:rPr>
                <w:rFonts w:ascii="Times New Roman" w:hAnsi="Times New Roman"/>
                <w:i/>
                <w:szCs w:val="24"/>
              </w:rPr>
            </w:pPr>
          </w:p>
        </w:tc>
      </w:tr>
      <w:tr w:rsidR="00C7034D" w:rsidRPr="000A6D89" w14:paraId="5CDD0EEB" w14:textId="77777777" w:rsidTr="00C711D8">
        <w:tc>
          <w:tcPr>
            <w:tcW w:w="1680" w:type="dxa"/>
          </w:tcPr>
          <w:p w14:paraId="68800962" w14:textId="77777777" w:rsidR="00C7034D" w:rsidRPr="000A6D89" w:rsidRDefault="00C7034D" w:rsidP="004B4155">
            <w:pPr>
              <w:pStyle w:val="HangingIndent3"/>
              <w:spacing w:after="0"/>
              <w:ind w:left="0" w:firstLine="0"/>
              <w:rPr>
                <w:rFonts w:ascii="Times New Roman" w:hAnsi="Times New Roman"/>
                <w:i/>
                <w:szCs w:val="24"/>
              </w:rPr>
            </w:pPr>
            <w:r w:rsidRPr="000A6D89">
              <w:rPr>
                <w:rFonts w:ascii="Times New Roman" w:hAnsi="Times New Roman"/>
                <w:i/>
                <w:szCs w:val="24"/>
              </w:rPr>
              <w:t>Remaining Gain from Rental Property</w:t>
            </w:r>
          </w:p>
        </w:tc>
        <w:tc>
          <w:tcPr>
            <w:tcW w:w="1380" w:type="dxa"/>
          </w:tcPr>
          <w:p w14:paraId="12F4E23A" w14:textId="77777777" w:rsidR="00C7034D" w:rsidRPr="000A6D89" w:rsidRDefault="00C7034D" w:rsidP="00C711D8">
            <w:pPr>
              <w:pStyle w:val="HangingIndent3"/>
              <w:spacing w:after="0"/>
              <w:ind w:left="0" w:firstLine="0"/>
              <w:jc w:val="center"/>
              <w:rPr>
                <w:rFonts w:ascii="Times New Roman" w:hAnsi="Times New Roman"/>
                <w:i/>
                <w:szCs w:val="24"/>
              </w:rPr>
            </w:pPr>
          </w:p>
        </w:tc>
        <w:tc>
          <w:tcPr>
            <w:tcW w:w="1440" w:type="dxa"/>
          </w:tcPr>
          <w:p w14:paraId="686043BB" w14:textId="77777777" w:rsidR="00C7034D" w:rsidRPr="000A6D89" w:rsidRDefault="00C7034D" w:rsidP="00C711D8">
            <w:pPr>
              <w:pStyle w:val="HangingIndent3"/>
              <w:spacing w:after="0"/>
              <w:ind w:left="0" w:firstLine="0"/>
              <w:jc w:val="center"/>
              <w:rPr>
                <w:rFonts w:ascii="Times New Roman" w:hAnsi="Times New Roman"/>
                <w:i/>
                <w:szCs w:val="24"/>
              </w:rPr>
            </w:pPr>
          </w:p>
        </w:tc>
        <w:tc>
          <w:tcPr>
            <w:tcW w:w="1530" w:type="dxa"/>
          </w:tcPr>
          <w:p w14:paraId="50134156" w14:textId="77777777" w:rsidR="00C7034D" w:rsidRPr="000A6D89" w:rsidRDefault="00C7034D" w:rsidP="00C711D8">
            <w:pPr>
              <w:pStyle w:val="HangingIndent3"/>
              <w:spacing w:after="0"/>
              <w:ind w:left="0" w:firstLine="0"/>
              <w:jc w:val="center"/>
              <w:rPr>
                <w:rFonts w:ascii="Times New Roman" w:hAnsi="Times New Roman"/>
                <w:i/>
                <w:szCs w:val="24"/>
              </w:rPr>
            </w:pPr>
          </w:p>
        </w:tc>
        <w:tc>
          <w:tcPr>
            <w:tcW w:w="1530" w:type="dxa"/>
          </w:tcPr>
          <w:p w14:paraId="0DBE695F" w14:textId="77777777" w:rsidR="00C7034D" w:rsidRPr="000A6D89" w:rsidRDefault="00C7034D" w:rsidP="00C711D8">
            <w:pPr>
              <w:pStyle w:val="HangingIndent3"/>
              <w:spacing w:after="0"/>
              <w:ind w:left="0" w:firstLine="0"/>
              <w:jc w:val="center"/>
              <w:rPr>
                <w:rFonts w:ascii="Times New Roman" w:hAnsi="Times New Roman"/>
                <w:i/>
                <w:szCs w:val="24"/>
              </w:rPr>
            </w:pPr>
            <w:r w:rsidRPr="000A6D89">
              <w:rPr>
                <w:rFonts w:ascii="Times New Roman" w:hAnsi="Times New Roman"/>
                <w:i/>
                <w:szCs w:val="24"/>
              </w:rPr>
              <w:t>$180,000</w:t>
            </w:r>
          </w:p>
        </w:tc>
      </w:tr>
      <w:tr w:rsidR="00C7034D" w:rsidRPr="000A6D89" w14:paraId="51A4162B" w14:textId="77777777" w:rsidTr="00C711D8">
        <w:tc>
          <w:tcPr>
            <w:tcW w:w="1680" w:type="dxa"/>
          </w:tcPr>
          <w:p w14:paraId="27922A0F" w14:textId="77777777" w:rsidR="00C7034D" w:rsidRPr="000A6D89" w:rsidRDefault="00C7034D" w:rsidP="004B4155">
            <w:pPr>
              <w:pStyle w:val="HangingIndent3"/>
              <w:spacing w:after="0"/>
              <w:ind w:left="0" w:firstLine="0"/>
              <w:rPr>
                <w:rFonts w:ascii="Times New Roman" w:hAnsi="Times New Roman"/>
                <w:i/>
                <w:szCs w:val="24"/>
              </w:rPr>
            </w:pPr>
            <w:r w:rsidRPr="000A6D89">
              <w:rPr>
                <w:rFonts w:ascii="Times New Roman" w:hAnsi="Times New Roman"/>
                <w:i/>
                <w:szCs w:val="24"/>
              </w:rPr>
              <w:t>Stock L</w:t>
            </w:r>
          </w:p>
        </w:tc>
        <w:tc>
          <w:tcPr>
            <w:tcW w:w="1380" w:type="dxa"/>
          </w:tcPr>
          <w:p w14:paraId="2D644F60" w14:textId="77777777" w:rsidR="00C7034D" w:rsidRPr="000A6D89" w:rsidRDefault="00C7034D" w:rsidP="00C711D8">
            <w:pPr>
              <w:pStyle w:val="HangingIndent3"/>
              <w:spacing w:after="0"/>
              <w:ind w:left="0" w:firstLine="0"/>
              <w:jc w:val="center"/>
              <w:rPr>
                <w:rFonts w:ascii="Times New Roman" w:hAnsi="Times New Roman"/>
                <w:i/>
                <w:szCs w:val="24"/>
              </w:rPr>
            </w:pPr>
          </w:p>
        </w:tc>
        <w:tc>
          <w:tcPr>
            <w:tcW w:w="1440" w:type="dxa"/>
          </w:tcPr>
          <w:p w14:paraId="2180175D" w14:textId="77777777" w:rsidR="00C7034D" w:rsidRPr="000A6D89" w:rsidRDefault="00C7034D" w:rsidP="00C711D8">
            <w:pPr>
              <w:pStyle w:val="HangingIndent3"/>
              <w:spacing w:after="0"/>
              <w:ind w:left="0" w:firstLine="0"/>
              <w:jc w:val="center"/>
              <w:rPr>
                <w:rFonts w:ascii="Times New Roman" w:hAnsi="Times New Roman"/>
                <w:i/>
                <w:szCs w:val="24"/>
              </w:rPr>
            </w:pPr>
          </w:p>
        </w:tc>
        <w:tc>
          <w:tcPr>
            <w:tcW w:w="1530" w:type="dxa"/>
          </w:tcPr>
          <w:p w14:paraId="4A0D03F5" w14:textId="77777777" w:rsidR="00C7034D" w:rsidRPr="000A6D89" w:rsidRDefault="00C7034D" w:rsidP="00C711D8">
            <w:pPr>
              <w:pStyle w:val="HangingIndent3"/>
              <w:spacing w:after="0"/>
              <w:ind w:left="0" w:firstLine="0"/>
              <w:jc w:val="center"/>
              <w:rPr>
                <w:rFonts w:ascii="Times New Roman" w:hAnsi="Times New Roman"/>
                <w:i/>
                <w:szCs w:val="24"/>
              </w:rPr>
            </w:pPr>
          </w:p>
        </w:tc>
        <w:tc>
          <w:tcPr>
            <w:tcW w:w="1530" w:type="dxa"/>
          </w:tcPr>
          <w:p w14:paraId="705D982E" w14:textId="77777777" w:rsidR="00C7034D" w:rsidRPr="000A6D89" w:rsidRDefault="00C7034D" w:rsidP="00C711D8">
            <w:pPr>
              <w:pStyle w:val="HangingIndent3"/>
              <w:spacing w:after="0"/>
              <w:ind w:left="0" w:firstLine="0"/>
              <w:jc w:val="center"/>
              <w:rPr>
                <w:rFonts w:ascii="Times New Roman" w:hAnsi="Times New Roman"/>
                <w:i/>
                <w:szCs w:val="24"/>
              </w:rPr>
            </w:pPr>
            <w:r w:rsidRPr="000A6D89">
              <w:rPr>
                <w:rFonts w:ascii="Times New Roman" w:hAnsi="Times New Roman"/>
                <w:i/>
                <w:szCs w:val="24"/>
              </w:rPr>
              <w:t>$9,000</w:t>
            </w:r>
          </w:p>
        </w:tc>
      </w:tr>
      <w:tr w:rsidR="00C7034D" w:rsidRPr="000A6D89" w14:paraId="3B36C79F" w14:textId="77777777" w:rsidTr="00C711D8">
        <w:tc>
          <w:tcPr>
            <w:tcW w:w="1680" w:type="dxa"/>
          </w:tcPr>
          <w:p w14:paraId="1EF35A65" w14:textId="256CD851" w:rsidR="00C7034D" w:rsidRPr="000A6D89" w:rsidRDefault="00C7034D" w:rsidP="004B4155">
            <w:pPr>
              <w:pStyle w:val="HangingIndent3"/>
              <w:spacing w:after="0"/>
              <w:ind w:left="0" w:firstLine="0"/>
              <w:rPr>
                <w:rFonts w:ascii="Times New Roman" w:hAnsi="Times New Roman"/>
                <w:i/>
                <w:szCs w:val="24"/>
              </w:rPr>
            </w:pPr>
            <w:r w:rsidRPr="000A6D89">
              <w:rPr>
                <w:rFonts w:ascii="Times New Roman" w:hAnsi="Times New Roman"/>
                <w:i/>
                <w:szCs w:val="24"/>
              </w:rPr>
              <w:t xml:space="preserve">Stock </w:t>
            </w:r>
            <w:r w:rsidR="00654BD7">
              <w:rPr>
                <w:rFonts w:ascii="Times New Roman" w:hAnsi="Times New Roman"/>
                <w:i/>
                <w:szCs w:val="24"/>
              </w:rPr>
              <w:t>M</w:t>
            </w:r>
          </w:p>
        </w:tc>
        <w:tc>
          <w:tcPr>
            <w:tcW w:w="1380" w:type="dxa"/>
          </w:tcPr>
          <w:p w14:paraId="78DFA84F" w14:textId="77777777" w:rsidR="00C7034D" w:rsidRPr="000A6D89" w:rsidRDefault="00C7034D" w:rsidP="00C711D8">
            <w:pPr>
              <w:pStyle w:val="HangingIndent3"/>
              <w:spacing w:after="0"/>
              <w:ind w:left="0" w:firstLine="0"/>
              <w:jc w:val="center"/>
              <w:rPr>
                <w:rFonts w:ascii="Times New Roman" w:hAnsi="Times New Roman"/>
                <w:i/>
                <w:szCs w:val="24"/>
              </w:rPr>
            </w:pPr>
          </w:p>
        </w:tc>
        <w:tc>
          <w:tcPr>
            <w:tcW w:w="1440" w:type="dxa"/>
          </w:tcPr>
          <w:p w14:paraId="7FF2A8CD" w14:textId="77777777" w:rsidR="00C7034D" w:rsidRPr="000A6D89" w:rsidRDefault="00C7034D" w:rsidP="00C711D8">
            <w:pPr>
              <w:pStyle w:val="HangingIndent3"/>
              <w:spacing w:after="0"/>
              <w:ind w:left="0" w:firstLine="0"/>
              <w:jc w:val="center"/>
              <w:rPr>
                <w:rFonts w:ascii="Times New Roman" w:hAnsi="Times New Roman"/>
                <w:i/>
                <w:szCs w:val="24"/>
              </w:rPr>
            </w:pPr>
          </w:p>
        </w:tc>
        <w:tc>
          <w:tcPr>
            <w:tcW w:w="1530" w:type="dxa"/>
          </w:tcPr>
          <w:p w14:paraId="1B42C34D" w14:textId="77777777" w:rsidR="00C7034D" w:rsidRPr="000A6D89" w:rsidRDefault="00C7034D" w:rsidP="00C711D8">
            <w:pPr>
              <w:pStyle w:val="HangingIndent3"/>
              <w:spacing w:after="0"/>
              <w:ind w:left="0" w:firstLine="0"/>
              <w:jc w:val="center"/>
              <w:rPr>
                <w:rFonts w:ascii="Times New Roman" w:hAnsi="Times New Roman"/>
                <w:i/>
                <w:szCs w:val="24"/>
              </w:rPr>
            </w:pPr>
          </w:p>
        </w:tc>
        <w:tc>
          <w:tcPr>
            <w:tcW w:w="1530" w:type="dxa"/>
          </w:tcPr>
          <w:p w14:paraId="6B4B1A24" w14:textId="77777777" w:rsidR="00C7034D" w:rsidRPr="000A6D89" w:rsidRDefault="00C7034D" w:rsidP="00C711D8">
            <w:pPr>
              <w:pStyle w:val="HangingIndent3"/>
              <w:spacing w:after="0"/>
              <w:ind w:left="0" w:firstLine="0"/>
              <w:jc w:val="center"/>
              <w:rPr>
                <w:rFonts w:ascii="Times New Roman" w:hAnsi="Times New Roman"/>
                <w:i/>
                <w:szCs w:val="24"/>
                <w:u w:val="single"/>
              </w:rPr>
            </w:pPr>
            <w:r w:rsidRPr="000A6D89">
              <w:rPr>
                <w:rFonts w:ascii="Times New Roman" w:hAnsi="Times New Roman"/>
                <w:i/>
                <w:szCs w:val="24"/>
                <w:u w:val="single"/>
              </w:rPr>
              <w:t>$(11,000)</w:t>
            </w:r>
          </w:p>
        </w:tc>
      </w:tr>
      <w:tr w:rsidR="00C7034D" w:rsidRPr="000A6D89" w14:paraId="7C3F4190" w14:textId="77777777" w:rsidTr="00C711D8">
        <w:tc>
          <w:tcPr>
            <w:tcW w:w="1680" w:type="dxa"/>
          </w:tcPr>
          <w:p w14:paraId="3F94F202" w14:textId="77777777" w:rsidR="00C7034D" w:rsidRPr="000A6D89" w:rsidRDefault="00C7034D" w:rsidP="004B4155">
            <w:pPr>
              <w:pStyle w:val="HangingIndent3"/>
              <w:spacing w:after="0"/>
              <w:ind w:left="0" w:firstLine="0"/>
              <w:rPr>
                <w:rFonts w:ascii="Times New Roman" w:hAnsi="Times New Roman"/>
                <w:b/>
                <w:i/>
                <w:szCs w:val="24"/>
              </w:rPr>
            </w:pPr>
            <w:r w:rsidRPr="000A6D89">
              <w:rPr>
                <w:rFonts w:ascii="Times New Roman" w:hAnsi="Times New Roman"/>
                <w:b/>
                <w:i/>
                <w:szCs w:val="24"/>
              </w:rPr>
              <w:t>Step 2:</w:t>
            </w:r>
          </w:p>
        </w:tc>
        <w:tc>
          <w:tcPr>
            <w:tcW w:w="1380" w:type="dxa"/>
          </w:tcPr>
          <w:p w14:paraId="501508FF" w14:textId="77777777" w:rsidR="00C7034D" w:rsidRPr="000A6D89" w:rsidRDefault="00C7034D" w:rsidP="00C711D8">
            <w:pPr>
              <w:pStyle w:val="HangingIndent3"/>
              <w:spacing w:after="0"/>
              <w:ind w:left="0" w:firstLine="0"/>
              <w:jc w:val="center"/>
              <w:rPr>
                <w:rFonts w:ascii="Times New Roman" w:hAnsi="Times New Roman"/>
                <w:i/>
                <w:szCs w:val="24"/>
              </w:rPr>
            </w:pPr>
          </w:p>
        </w:tc>
        <w:tc>
          <w:tcPr>
            <w:tcW w:w="1440" w:type="dxa"/>
          </w:tcPr>
          <w:p w14:paraId="7300D4C3" w14:textId="77777777" w:rsidR="00C7034D" w:rsidRPr="000A6D89" w:rsidRDefault="00C7034D" w:rsidP="00C711D8">
            <w:pPr>
              <w:pStyle w:val="HangingIndent3"/>
              <w:spacing w:after="0"/>
              <w:ind w:left="0" w:firstLine="0"/>
              <w:jc w:val="center"/>
              <w:rPr>
                <w:rFonts w:ascii="Times New Roman" w:hAnsi="Times New Roman"/>
                <w:i/>
                <w:szCs w:val="24"/>
              </w:rPr>
            </w:pPr>
          </w:p>
        </w:tc>
        <w:tc>
          <w:tcPr>
            <w:tcW w:w="1530" w:type="dxa"/>
          </w:tcPr>
          <w:p w14:paraId="01EF31F5" w14:textId="77777777" w:rsidR="00C7034D" w:rsidRPr="000A6D89" w:rsidRDefault="00C7034D" w:rsidP="00C711D8">
            <w:pPr>
              <w:pStyle w:val="HangingIndent3"/>
              <w:spacing w:after="0"/>
              <w:ind w:left="0" w:firstLine="0"/>
              <w:jc w:val="center"/>
              <w:rPr>
                <w:rFonts w:ascii="Times New Roman" w:hAnsi="Times New Roman"/>
                <w:i/>
                <w:szCs w:val="24"/>
              </w:rPr>
            </w:pPr>
          </w:p>
        </w:tc>
        <w:tc>
          <w:tcPr>
            <w:tcW w:w="1530" w:type="dxa"/>
          </w:tcPr>
          <w:p w14:paraId="505C33E2" w14:textId="347A19E8" w:rsidR="00C7034D" w:rsidRPr="000A6D89" w:rsidRDefault="008512DA" w:rsidP="00C711D8">
            <w:pPr>
              <w:pStyle w:val="HangingIndent3"/>
              <w:spacing w:after="0"/>
              <w:ind w:left="0" w:firstLine="0"/>
              <w:jc w:val="center"/>
              <w:rPr>
                <w:rFonts w:ascii="Times New Roman" w:hAnsi="Times New Roman"/>
                <w:i/>
                <w:szCs w:val="24"/>
              </w:rPr>
            </w:pPr>
            <w:r w:rsidRPr="000A6D89">
              <w:rPr>
                <w:rFonts w:ascii="Times New Roman" w:hAnsi="Times New Roman"/>
                <w:i/>
                <w:szCs w:val="24"/>
              </w:rPr>
              <w:t>$178,000</w:t>
            </w:r>
          </w:p>
        </w:tc>
      </w:tr>
      <w:tr w:rsidR="00C7034D" w:rsidRPr="000A6D89" w14:paraId="7E13C9E6" w14:textId="77777777" w:rsidTr="00C711D8">
        <w:tc>
          <w:tcPr>
            <w:tcW w:w="1680" w:type="dxa"/>
          </w:tcPr>
          <w:p w14:paraId="21C327B4" w14:textId="476ACE8A" w:rsidR="00C7034D" w:rsidRPr="00C711D8" w:rsidRDefault="00C7034D">
            <w:pPr>
              <w:pStyle w:val="HangingIndent3"/>
              <w:spacing w:after="0"/>
              <w:ind w:left="0" w:firstLine="0"/>
              <w:rPr>
                <w:rFonts w:ascii="Times New Roman" w:hAnsi="Times New Roman"/>
                <w:i/>
                <w:szCs w:val="24"/>
              </w:rPr>
            </w:pPr>
            <w:r w:rsidRPr="000A6D89">
              <w:rPr>
                <w:rFonts w:ascii="Times New Roman" w:hAnsi="Times New Roman"/>
                <w:b/>
                <w:i/>
                <w:szCs w:val="24"/>
              </w:rPr>
              <w:t xml:space="preserve">Steps </w:t>
            </w:r>
            <w:r w:rsidR="008512DA">
              <w:rPr>
                <w:rFonts w:ascii="Times New Roman" w:hAnsi="Times New Roman"/>
                <w:b/>
                <w:i/>
                <w:szCs w:val="24"/>
              </w:rPr>
              <w:t>3(B)</w:t>
            </w:r>
            <w:r w:rsidRPr="000A6D89">
              <w:rPr>
                <w:rFonts w:ascii="Times New Roman" w:hAnsi="Times New Roman"/>
                <w:b/>
                <w:i/>
                <w:szCs w:val="24"/>
              </w:rPr>
              <w:t>:</w:t>
            </w:r>
            <w:r w:rsidR="008512DA">
              <w:rPr>
                <w:rFonts w:ascii="Times New Roman" w:hAnsi="Times New Roman"/>
                <w:i/>
                <w:szCs w:val="24"/>
              </w:rPr>
              <w:t xml:space="preserve"> Go to step 6</w:t>
            </w:r>
          </w:p>
        </w:tc>
        <w:tc>
          <w:tcPr>
            <w:tcW w:w="1380" w:type="dxa"/>
          </w:tcPr>
          <w:p w14:paraId="56D6D791" w14:textId="77777777" w:rsidR="00C7034D" w:rsidRPr="000A6D89" w:rsidRDefault="00C7034D" w:rsidP="00C711D8">
            <w:pPr>
              <w:pStyle w:val="HangingIndent3"/>
              <w:spacing w:after="0"/>
              <w:ind w:left="0" w:firstLine="0"/>
              <w:jc w:val="center"/>
              <w:rPr>
                <w:rFonts w:ascii="Times New Roman" w:hAnsi="Times New Roman"/>
                <w:i/>
                <w:szCs w:val="24"/>
              </w:rPr>
            </w:pPr>
          </w:p>
        </w:tc>
        <w:tc>
          <w:tcPr>
            <w:tcW w:w="1440" w:type="dxa"/>
          </w:tcPr>
          <w:p w14:paraId="4D6B489E" w14:textId="77777777" w:rsidR="00C7034D" w:rsidRPr="000A6D89" w:rsidRDefault="00C7034D" w:rsidP="00C711D8">
            <w:pPr>
              <w:pStyle w:val="HangingIndent3"/>
              <w:spacing w:after="0"/>
              <w:ind w:left="0" w:firstLine="0"/>
              <w:jc w:val="center"/>
              <w:rPr>
                <w:rFonts w:ascii="Times New Roman" w:hAnsi="Times New Roman"/>
                <w:i/>
                <w:szCs w:val="24"/>
              </w:rPr>
            </w:pPr>
          </w:p>
        </w:tc>
        <w:tc>
          <w:tcPr>
            <w:tcW w:w="1530" w:type="dxa"/>
          </w:tcPr>
          <w:p w14:paraId="27CDA220" w14:textId="77777777" w:rsidR="00C7034D" w:rsidRPr="000A6D89" w:rsidRDefault="00C7034D" w:rsidP="00C711D8">
            <w:pPr>
              <w:pStyle w:val="HangingIndent3"/>
              <w:spacing w:after="0"/>
              <w:ind w:left="0" w:firstLine="0"/>
              <w:jc w:val="center"/>
              <w:rPr>
                <w:rFonts w:ascii="Times New Roman" w:hAnsi="Times New Roman"/>
                <w:i/>
                <w:szCs w:val="24"/>
              </w:rPr>
            </w:pPr>
          </w:p>
        </w:tc>
        <w:tc>
          <w:tcPr>
            <w:tcW w:w="1530" w:type="dxa"/>
          </w:tcPr>
          <w:p w14:paraId="16D17F78" w14:textId="678268FC" w:rsidR="00C7034D" w:rsidRPr="000A6D89" w:rsidRDefault="00C7034D" w:rsidP="00C711D8">
            <w:pPr>
              <w:pStyle w:val="HangingIndent3"/>
              <w:spacing w:after="0"/>
              <w:ind w:left="0" w:firstLine="0"/>
              <w:jc w:val="center"/>
              <w:rPr>
                <w:rFonts w:ascii="Times New Roman" w:hAnsi="Times New Roman"/>
                <w:i/>
                <w:szCs w:val="24"/>
              </w:rPr>
            </w:pPr>
          </w:p>
        </w:tc>
      </w:tr>
      <w:tr w:rsidR="00C7034D" w:rsidRPr="00A818E8" w14:paraId="0D1D992D" w14:textId="77777777" w:rsidTr="00C711D8">
        <w:tc>
          <w:tcPr>
            <w:tcW w:w="1680" w:type="dxa"/>
          </w:tcPr>
          <w:p w14:paraId="58357C4E" w14:textId="3A30A745" w:rsidR="00C7034D" w:rsidRPr="00A818E8" w:rsidRDefault="00C7034D">
            <w:pPr>
              <w:pStyle w:val="HangingIndent3"/>
              <w:spacing w:after="0"/>
              <w:ind w:left="0" w:firstLine="0"/>
              <w:rPr>
                <w:rFonts w:ascii="Times New Roman" w:hAnsi="Times New Roman"/>
                <w:i/>
                <w:szCs w:val="24"/>
              </w:rPr>
            </w:pPr>
            <w:r w:rsidRPr="00A818E8">
              <w:rPr>
                <w:rFonts w:ascii="Times New Roman" w:hAnsi="Times New Roman"/>
                <w:b/>
                <w:i/>
                <w:szCs w:val="24"/>
              </w:rPr>
              <w:t xml:space="preserve">Step </w:t>
            </w:r>
            <w:r w:rsidR="00143224" w:rsidRPr="00A818E8">
              <w:rPr>
                <w:rFonts w:ascii="Times New Roman" w:hAnsi="Times New Roman"/>
                <w:b/>
                <w:i/>
                <w:szCs w:val="24"/>
              </w:rPr>
              <w:t xml:space="preserve">4 </w:t>
            </w:r>
            <w:r w:rsidRPr="00A818E8">
              <w:rPr>
                <w:rFonts w:ascii="Times New Roman" w:hAnsi="Times New Roman"/>
                <w:b/>
                <w:i/>
                <w:szCs w:val="24"/>
              </w:rPr>
              <w:t xml:space="preserve">: </w:t>
            </w:r>
            <w:r w:rsidR="008512DA" w:rsidRPr="00A818E8">
              <w:rPr>
                <w:rFonts w:ascii="Times New Roman" w:hAnsi="Times New Roman"/>
                <w:i/>
                <w:szCs w:val="24"/>
              </w:rPr>
              <w:t xml:space="preserve">Go to step </w:t>
            </w:r>
            <w:r w:rsidR="00143224" w:rsidRPr="00A818E8">
              <w:rPr>
                <w:rFonts w:ascii="Times New Roman" w:hAnsi="Times New Roman"/>
                <w:i/>
                <w:szCs w:val="24"/>
              </w:rPr>
              <w:t xml:space="preserve">5 </w:t>
            </w:r>
          </w:p>
        </w:tc>
        <w:tc>
          <w:tcPr>
            <w:tcW w:w="1380" w:type="dxa"/>
          </w:tcPr>
          <w:p w14:paraId="16EEB101" w14:textId="77777777" w:rsidR="00C7034D" w:rsidRPr="00A818E8" w:rsidRDefault="00C7034D" w:rsidP="00C711D8">
            <w:pPr>
              <w:pStyle w:val="HangingIndent3"/>
              <w:tabs>
                <w:tab w:val="center" w:pos="4320"/>
                <w:tab w:val="right" w:pos="8640"/>
              </w:tabs>
              <w:spacing w:after="0"/>
              <w:ind w:left="0" w:firstLine="0"/>
              <w:jc w:val="center"/>
              <w:rPr>
                <w:rFonts w:ascii="Times New Roman" w:hAnsi="Times New Roman"/>
                <w:i/>
                <w:szCs w:val="24"/>
              </w:rPr>
            </w:pPr>
          </w:p>
        </w:tc>
        <w:tc>
          <w:tcPr>
            <w:tcW w:w="1440" w:type="dxa"/>
          </w:tcPr>
          <w:p w14:paraId="1F12C411" w14:textId="77777777" w:rsidR="00C7034D" w:rsidRPr="00A818E8" w:rsidRDefault="00C7034D" w:rsidP="00C711D8">
            <w:pPr>
              <w:pStyle w:val="HangingIndent3"/>
              <w:spacing w:after="0"/>
              <w:ind w:left="0" w:firstLine="0"/>
              <w:jc w:val="center"/>
              <w:rPr>
                <w:rFonts w:ascii="Times New Roman" w:hAnsi="Times New Roman"/>
                <w:i/>
                <w:szCs w:val="24"/>
                <w:u w:val="single"/>
              </w:rPr>
            </w:pPr>
          </w:p>
        </w:tc>
        <w:tc>
          <w:tcPr>
            <w:tcW w:w="1530" w:type="dxa"/>
          </w:tcPr>
          <w:p w14:paraId="2DF87B12" w14:textId="77777777" w:rsidR="00C7034D" w:rsidRPr="00A818E8" w:rsidRDefault="00C7034D" w:rsidP="00C711D8">
            <w:pPr>
              <w:pStyle w:val="HangingIndent3"/>
              <w:tabs>
                <w:tab w:val="center" w:pos="4320"/>
                <w:tab w:val="right" w:pos="8640"/>
              </w:tabs>
              <w:spacing w:after="0"/>
              <w:ind w:left="0" w:firstLine="0"/>
              <w:jc w:val="center"/>
              <w:rPr>
                <w:rFonts w:ascii="Times New Roman" w:hAnsi="Times New Roman"/>
                <w:i/>
                <w:szCs w:val="24"/>
              </w:rPr>
            </w:pPr>
          </w:p>
        </w:tc>
        <w:tc>
          <w:tcPr>
            <w:tcW w:w="1530" w:type="dxa"/>
          </w:tcPr>
          <w:p w14:paraId="3096328A" w14:textId="77777777" w:rsidR="00C7034D" w:rsidRPr="00A818E8" w:rsidRDefault="00C7034D" w:rsidP="00C711D8">
            <w:pPr>
              <w:pStyle w:val="HangingIndent3"/>
              <w:tabs>
                <w:tab w:val="center" w:pos="4320"/>
                <w:tab w:val="right" w:pos="8640"/>
              </w:tabs>
              <w:spacing w:after="0"/>
              <w:ind w:left="0" w:firstLine="0"/>
              <w:jc w:val="center"/>
              <w:rPr>
                <w:rFonts w:ascii="Times New Roman" w:hAnsi="Times New Roman"/>
                <w:i/>
                <w:szCs w:val="24"/>
              </w:rPr>
            </w:pPr>
          </w:p>
        </w:tc>
      </w:tr>
      <w:tr w:rsidR="00C7034D" w:rsidRPr="00A818E8" w14:paraId="7D8721B8" w14:textId="77777777" w:rsidTr="00C711D8">
        <w:tc>
          <w:tcPr>
            <w:tcW w:w="1680" w:type="dxa"/>
          </w:tcPr>
          <w:p w14:paraId="2D34024E" w14:textId="19063BC6" w:rsidR="00C7034D" w:rsidRPr="00A818E8" w:rsidRDefault="008512DA" w:rsidP="004B4155">
            <w:pPr>
              <w:pStyle w:val="HangingIndent3"/>
              <w:spacing w:after="0"/>
              <w:ind w:left="0" w:firstLine="0"/>
              <w:rPr>
                <w:rFonts w:ascii="Times New Roman" w:hAnsi="Times New Roman"/>
                <w:b/>
                <w:i/>
                <w:szCs w:val="24"/>
              </w:rPr>
            </w:pPr>
            <w:r w:rsidRPr="00A818E8">
              <w:rPr>
                <w:rFonts w:ascii="Times New Roman" w:hAnsi="Times New Roman"/>
                <w:b/>
                <w:i/>
                <w:szCs w:val="24"/>
              </w:rPr>
              <w:t xml:space="preserve">Step </w:t>
            </w:r>
            <w:r w:rsidR="00143224" w:rsidRPr="00A818E8">
              <w:rPr>
                <w:rFonts w:ascii="Times New Roman" w:hAnsi="Times New Roman"/>
                <w:b/>
                <w:i/>
                <w:szCs w:val="24"/>
              </w:rPr>
              <w:t xml:space="preserve">5 </w:t>
            </w:r>
            <w:r w:rsidRPr="00A818E8">
              <w:rPr>
                <w:rFonts w:ascii="Times New Roman" w:hAnsi="Times New Roman"/>
                <w:b/>
                <w:i/>
                <w:szCs w:val="24"/>
              </w:rPr>
              <w:t>:</w:t>
            </w:r>
          </w:p>
        </w:tc>
        <w:tc>
          <w:tcPr>
            <w:tcW w:w="1380" w:type="dxa"/>
            <w:tcBorders>
              <w:top w:val="single" w:sz="18" w:space="0" w:color="auto"/>
            </w:tcBorders>
          </w:tcPr>
          <w:p w14:paraId="3F49381D" w14:textId="77777777" w:rsidR="00C7034D" w:rsidRPr="00A818E8" w:rsidRDefault="00C7034D" w:rsidP="00C711D8">
            <w:pPr>
              <w:pStyle w:val="HangingIndent3"/>
              <w:spacing w:after="0"/>
              <w:ind w:left="0" w:firstLine="0"/>
              <w:jc w:val="center"/>
              <w:rPr>
                <w:rFonts w:ascii="Times New Roman" w:hAnsi="Times New Roman"/>
                <w:i/>
                <w:szCs w:val="24"/>
              </w:rPr>
            </w:pPr>
            <w:r w:rsidRPr="00A818E8">
              <w:rPr>
                <w:rFonts w:ascii="Times New Roman" w:hAnsi="Times New Roman"/>
                <w:i/>
                <w:szCs w:val="24"/>
              </w:rPr>
              <w:t>$1,000</w:t>
            </w:r>
          </w:p>
        </w:tc>
        <w:tc>
          <w:tcPr>
            <w:tcW w:w="1440" w:type="dxa"/>
            <w:tcBorders>
              <w:top w:val="single" w:sz="18" w:space="0" w:color="auto"/>
            </w:tcBorders>
          </w:tcPr>
          <w:p w14:paraId="01FAB4D0" w14:textId="77777777" w:rsidR="00C7034D" w:rsidRPr="00A818E8" w:rsidRDefault="00C7034D" w:rsidP="00C711D8">
            <w:pPr>
              <w:pStyle w:val="HangingIndent3"/>
              <w:spacing w:after="0"/>
              <w:ind w:left="0" w:firstLine="0"/>
              <w:jc w:val="center"/>
              <w:rPr>
                <w:rFonts w:ascii="Times New Roman" w:hAnsi="Times New Roman"/>
                <w:i/>
                <w:szCs w:val="24"/>
              </w:rPr>
            </w:pPr>
            <w:r w:rsidRPr="00A818E8">
              <w:rPr>
                <w:rFonts w:ascii="Times New Roman" w:hAnsi="Times New Roman"/>
                <w:i/>
                <w:szCs w:val="24"/>
              </w:rPr>
              <w:t>$3,000</w:t>
            </w:r>
          </w:p>
        </w:tc>
        <w:tc>
          <w:tcPr>
            <w:tcW w:w="1530" w:type="dxa"/>
            <w:tcBorders>
              <w:top w:val="single" w:sz="18" w:space="0" w:color="auto"/>
            </w:tcBorders>
          </w:tcPr>
          <w:p w14:paraId="09F747D6" w14:textId="77777777" w:rsidR="00C7034D" w:rsidRPr="00A818E8" w:rsidRDefault="00C7034D" w:rsidP="00C711D8">
            <w:pPr>
              <w:pStyle w:val="HangingIndent3"/>
              <w:spacing w:after="0"/>
              <w:ind w:left="0" w:firstLine="0"/>
              <w:jc w:val="center"/>
              <w:rPr>
                <w:rFonts w:ascii="Times New Roman" w:hAnsi="Times New Roman"/>
                <w:i/>
                <w:szCs w:val="24"/>
              </w:rPr>
            </w:pPr>
            <w:r w:rsidRPr="00A818E8">
              <w:rPr>
                <w:rFonts w:ascii="Times New Roman" w:hAnsi="Times New Roman"/>
                <w:i/>
                <w:szCs w:val="24"/>
              </w:rPr>
              <w:t>$30,000</w:t>
            </w:r>
          </w:p>
        </w:tc>
        <w:tc>
          <w:tcPr>
            <w:tcW w:w="1530" w:type="dxa"/>
            <w:tcBorders>
              <w:top w:val="single" w:sz="18" w:space="0" w:color="auto"/>
            </w:tcBorders>
          </w:tcPr>
          <w:p w14:paraId="6E8BA007" w14:textId="77777777" w:rsidR="00C7034D" w:rsidRPr="00A818E8" w:rsidRDefault="00C7034D" w:rsidP="00C711D8">
            <w:pPr>
              <w:pStyle w:val="HangingIndent3"/>
              <w:spacing w:after="0"/>
              <w:ind w:left="0" w:firstLine="0"/>
              <w:jc w:val="center"/>
              <w:rPr>
                <w:rFonts w:ascii="Times New Roman" w:hAnsi="Times New Roman"/>
                <w:i/>
                <w:szCs w:val="24"/>
              </w:rPr>
            </w:pPr>
            <w:r w:rsidRPr="00A818E8">
              <w:rPr>
                <w:rFonts w:ascii="Times New Roman" w:hAnsi="Times New Roman"/>
                <w:i/>
                <w:szCs w:val="24"/>
              </w:rPr>
              <w:t>$178,000</w:t>
            </w:r>
          </w:p>
        </w:tc>
      </w:tr>
    </w:tbl>
    <w:p w14:paraId="44258435" w14:textId="77777777" w:rsidR="005022F8" w:rsidRDefault="005022F8" w:rsidP="00A07CE5">
      <w:pPr>
        <w:pStyle w:val="HangingIndent3"/>
        <w:spacing w:after="0"/>
        <w:ind w:left="720" w:hanging="720"/>
        <w:rPr>
          <w:rFonts w:ascii="Times New Roman" w:hAnsi="Times New Roman"/>
          <w:i/>
          <w:szCs w:val="24"/>
        </w:rPr>
      </w:pPr>
    </w:p>
    <w:p w14:paraId="6E4DC28A" w14:textId="694B8319" w:rsidR="00745022" w:rsidRDefault="00745022" w:rsidP="00A07CE5">
      <w:pPr>
        <w:pStyle w:val="HangingIndent3"/>
        <w:spacing w:after="0"/>
        <w:ind w:left="720" w:hanging="720"/>
        <w:rPr>
          <w:rFonts w:ascii="Times New Roman" w:hAnsi="Times New Roman"/>
          <w:i/>
          <w:szCs w:val="24"/>
        </w:rPr>
      </w:pPr>
      <w:r>
        <w:rPr>
          <w:rFonts w:ascii="Times New Roman" w:hAnsi="Times New Roman"/>
          <w:i/>
          <w:szCs w:val="24"/>
        </w:rPr>
        <w:tab/>
        <w:t xml:space="preserve">Ron and Anne’s ordinary income will increase from $20,000 to $21,000 due to their $1,000 net short-term capital gain. Ron and Anne’s gross tax liability of </w:t>
      </w:r>
      <w:r w:rsidRPr="001336D0">
        <w:rPr>
          <w:rFonts w:ascii="Times New Roman" w:hAnsi="Times New Roman"/>
          <w:i/>
          <w:szCs w:val="24"/>
        </w:rPr>
        <w:t>$</w:t>
      </w:r>
      <w:r w:rsidR="00A62E01">
        <w:rPr>
          <w:rFonts w:ascii="Times New Roman" w:hAnsi="Times New Roman"/>
          <w:i/>
          <w:szCs w:val="24"/>
        </w:rPr>
        <w:t>29,319</w:t>
      </w:r>
      <w:r w:rsidR="00250DD9" w:rsidRPr="001336D0">
        <w:rPr>
          <w:rFonts w:ascii="Times New Roman" w:hAnsi="Times New Roman"/>
          <w:i/>
          <w:szCs w:val="24"/>
        </w:rPr>
        <w:t xml:space="preserve"> </w:t>
      </w:r>
      <w:r w:rsidRPr="001336D0">
        <w:rPr>
          <w:rFonts w:ascii="Times New Roman" w:hAnsi="Times New Roman"/>
          <w:i/>
          <w:szCs w:val="24"/>
        </w:rPr>
        <w:t>is computed as follows:</w:t>
      </w:r>
    </w:p>
    <w:p w14:paraId="382D0771" w14:textId="77777777" w:rsidR="005022F8" w:rsidRPr="00344878" w:rsidRDefault="005022F8" w:rsidP="00A07CE5">
      <w:pPr>
        <w:pStyle w:val="HangingIndent3"/>
        <w:spacing w:after="0"/>
        <w:ind w:left="720" w:hanging="720"/>
        <w:rPr>
          <w:rFonts w:ascii="Times New Roman" w:hAnsi="Times New Roman"/>
          <w:i/>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1270"/>
        <w:gridCol w:w="1656"/>
        <w:gridCol w:w="4159"/>
      </w:tblGrid>
      <w:tr w:rsidR="00A62E01" w:rsidRPr="00344878" w14:paraId="58CAB4DE" w14:textId="77777777" w:rsidTr="00724467">
        <w:trPr>
          <w:jc w:val="center"/>
        </w:trPr>
        <w:tc>
          <w:tcPr>
            <w:tcW w:w="0" w:type="auto"/>
          </w:tcPr>
          <w:p w14:paraId="328355B0" w14:textId="77777777" w:rsidR="00745022" w:rsidRPr="003E3DAE" w:rsidRDefault="00745022" w:rsidP="000A6D89">
            <w:pPr>
              <w:pStyle w:val="HangingIndent3"/>
              <w:spacing w:after="0"/>
              <w:ind w:left="0" w:firstLine="0"/>
              <w:jc w:val="center"/>
              <w:rPr>
                <w:rFonts w:ascii="Times New Roman" w:hAnsi="Times New Roman"/>
                <w:b/>
                <w:i/>
                <w:szCs w:val="24"/>
              </w:rPr>
            </w:pPr>
            <w:r w:rsidRPr="00FA6CBC">
              <w:rPr>
                <w:rFonts w:ascii="Times New Roman" w:hAnsi="Times New Roman"/>
                <w:i/>
                <w:szCs w:val="24"/>
                <w:highlight w:val="yellow"/>
              </w:rPr>
              <w:br w:type="page"/>
            </w:r>
            <w:r w:rsidRPr="003E3DAE">
              <w:rPr>
                <w:rFonts w:ascii="Times New Roman" w:hAnsi="Times New Roman"/>
                <w:b/>
                <w:i/>
                <w:szCs w:val="24"/>
              </w:rPr>
              <w:t xml:space="preserve">Amount and </w:t>
            </w:r>
          </w:p>
          <w:p w14:paraId="737B2065" w14:textId="77777777" w:rsidR="00745022" w:rsidRPr="003E3DAE" w:rsidRDefault="00745022" w:rsidP="000A6D89">
            <w:pPr>
              <w:pStyle w:val="HangingIndent3"/>
              <w:spacing w:after="0"/>
              <w:ind w:left="0" w:firstLine="0"/>
              <w:jc w:val="center"/>
              <w:rPr>
                <w:rFonts w:ascii="Times New Roman" w:hAnsi="Times New Roman"/>
                <w:b/>
                <w:i/>
                <w:szCs w:val="24"/>
              </w:rPr>
            </w:pPr>
            <w:r w:rsidRPr="003E3DAE">
              <w:rPr>
                <w:rFonts w:ascii="Times New Roman" w:hAnsi="Times New Roman"/>
                <w:b/>
                <w:i/>
                <w:szCs w:val="24"/>
              </w:rPr>
              <w:t>Type of Income</w:t>
            </w:r>
          </w:p>
        </w:tc>
        <w:tc>
          <w:tcPr>
            <w:tcW w:w="0" w:type="auto"/>
          </w:tcPr>
          <w:p w14:paraId="5596AC44" w14:textId="77777777" w:rsidR="00745022" w:rsidRPr="003E3DAE" w:rsidRDefault="00745022" w:rsidP="000A6D89">
            <w:pPr>
              <w:pStyle w:val="HangingIndent3"/>
              <w:spacing w:after="0"/>
              <w:ind w:left="0" w:firstLine="0"/>
              <w:jc w:val="center"/>
              <w:rPr>
                <w:rFonts w:ascii="Times New Roman" w:hAnsi="Times New Roman"/>
                <w:b/>
                <w:i/>
                <w:szCs w:val="24"/>
              </w:rPr>
            </w:pPr>
            <w:r w:rsidRPr="003E3DAE">
              <w:rPr>
                <w:rFonts w:ascii="Times New Roman" w:hAnsi="Times New Roman"/>
                <w:b/>
                <w:i/>
                <w:szCs w:val="24"/>
              </w:rPr>
              <w:t xml:space="preserve">Applicable </w:t>
            </w:r>
          </w:p>
          <w:p w14:paraId="105B83FF" w14:textId="77777777" w:rsidR="00745022" w:rsidRPr="003E3DAE" w:rsidRDefault="00745022" w:rsidP="000A6D89">
            <w:pPr>
              <w:pStyle w:val="HangingIndent3"/>
              <w:spacing w:after="0"/>
              <w:ind w:left="0" w:firstLine="0"/>
              <w:jc w:val="center"/>
              <w:rPr>
                <w:rFonts w:ascii="Times New Roman" w:hAnsi="Times New Roman"/>
                <w:b/>
                <w:i/>
                <w:szCs w:val="24"/>
              </w:rPr>
            </w:pPr>
            <w:r w:rsidRPr="003E3DAE">
              <w:rPr>
                <w:rFonts w:ascii="Times New Roman" w:hAnsi="Times New Roman"/>
                <w:b/>
                <w:i/>
                <w:szCs w:val="24"/>
              </w:rPr>
              <w:t>Rate</w:t>
            </w:r>
          </w:p>
        </w:tc>
        <w:tc>
          <w:tcPr>
            <w:tcW w:w="0" w:type="auto"/>
          </w:tcPr>
          <w:p w14:paraId="21E39891" w14:textId="77777777" w:rsidR="00745022" w:rsidRPr="003E3DAE" w:rsidRDefault="00745022" w:rsidP="000A6D89">
            <w:pPr>
              <w:pStyle w:val="HangingIndent3"/>
              <w:spacing w:after="0"/>
              <w:ind w:left="0" w:firstLine="0"/>
              <w:jc w:val="center"/>
              <w:rPr>
                <w:rFonts w:ascii="Times New Roman" w:hAnsi="Times New Roman"/>
                <w:b/>
                <w:i/>
                <w:szCs w:val="24"/>
              </w:rPr>
            </w:pPr>
          </w:p>
          <w:p w14:paraId="3360BEBB" w14:textId="77777777" w:rsidR="00745022" w:rsidRPr="003E3DAE" w:rsidRDefault="00745022" w:rsidP="000A6D89">
            <w:pPr>
              <w:pStyle w:val="HangingIndent3"/>
              <w:spacing w:after="0"/>
              <w:ind w:left="0" w:firstLine="0"/>
              <w:jc w:val="center"/>
              <w:rPr>
                <w:rFonts w:ascii="Times New Roman" w:hAnsi="Times New Roman"/>
                <w:b/>
                <w:i/>
                <w:szCs w:val="24"/>
              </w:rPr>
            </w:pPr>
            <w:r w:rsidRPr="003E3DAE">
              <w:rPr>
                <w:rFonts w:ascii="Times New Roman" w:hAnsi="Times New Roman"/>
                <w:b/>
                <w:i/>
                <w:szCs w:val="24"/>
              </w:rPr>
              <w:t>Tax</w:t>
            </w:r>
          </w:p>
        </w:tc>
        <w:tc>
          <w:tcPr>
            <w:tcW w:w="0" w:type="auto"/>
          </w:tcPr>
          <w:p w14:paraId="2181CD6C" w14:textId="77777777" w:rsidR="00745022" w:rsidRPr="003E3DAE" w:rsidRDefault="00745022" w:rsidP="000A6D89">
            <w:pPr>
              <w:pStyle w:val="HangingIndent3"/>
              <w:spacing w:after="0"/>
              <w:ind w:left="0" w:firstLine="0"/>
              <w:jc w:val="center"/>
              <w:rPr>
                <w:rFonts w:ascii="Times New Roman" w:hAnsi="Times New Roman"/>
                <w:b/>
                <w:i/>
                <w:szCs w:val="24"/>
              </w:rPr>
            </w:pPr>
          </w:p>
          <w:p w14:paraId="0BB278A3" w14:textId="77777777" w:rsidR="00745022" w:rsidRPr="00344878" w:rsidRDefault="00745022" w:rsidP="000A6D89">
            <w:pPr>
              <w:pStyle w:val="HangingIndent3"/>
              <w:spacing w:after="0"/>
              <w:ind w:left="0" w:firstLine="0"/>
              <w:jc w:val="center"/>
              <w:rPr>
                <w:rFonts w:ascii="Times New Roman" w:hAnsi="Times New Roman"/>
                <w:b/>
                <w:i/>
                <w:szCs w:val="24"/>
              </w:rPr>
            </w:pPr>
            <w:r w:rsidRPr="003E3DAE">
              <w:rPr>
                <w:rFonts w:ascii="Times New Roman" w:hAnsi="Times New Roman"/>
                <w:b/>
                <w:i/>
                <w:szCs w:val="24"/>
              </w:rPr>
              <w:t>Explanation</w:t>
            </w:r>
          </w:p>
        </w:tc>
      </w:tr>
      <w:tr w:rsidR="00A62E01" w:rsidRPr="00344878" w14:paraId="1142213B" w14:textId="77777777" w:rsidTr="00724467">
        <w:trPr>
          <w:jc w:val="center"/>
        </w:trPr>
        <w:tc>
          <w:tcPr>
            <w:tcW w:w="0" w:type="auto"/>
          </w:tcPr>
          <w:p w14:paraId="73899691" w14:textId="10CC3B3E" w:rsidR="00745022" w:rsidRPr="00344878" w:rsidRDefault="00745022" w:rsidP="003E3DAE">
            <w:pPr>
              <w:pStyle w:val="HangingIndent3"/>
              <w:spacing w:after="0"/>
              <w:ind w:left="0" w:firstLine="0"/>
              <w:rPr>
                <w:rFonts w:ascii="Times New Roman" w:hAnsi="Times New Roman"/>
                <w:i/>
                <w:szCs w:val="24"/>
              </w:rPr>
            </w:pPr>
            <w:r w:rsidRPr="00344878">
              <w:rPr>
                <w:rFonts w:ascii="Times New Roman" w:hAnsi="Times New Roman"/>
                <w:i/>
                <w:szCs w:val="24"/>
              </w:rPr>
              <w:t>$</w:t>
            </w:r>
            <w:r w:rsidR="003E3DAE">
              <w:rPr>
                <w:rFonts w:ascii="Times New Roman" w:hAnsi="Times New Roman"/>
                <w:i/>
                <w:szCs w:val="24"/>
              </w:rPr>
              <w:t>19,050</w:t>
            </w:r>
            <w:r w:rsidRPr="00344878">
              <w:rPr>
                <w:rFonts w:ascii="Times New Roman" w:hAnsi="Times New Roman"/>
                <w:i/>
                <w:szCs w:val="24"/>
              </w:rPr>
              <w:t>; ordinary</w:t>
            </w:r>
          </w:p>
        </w:tc>
        <w:tc>
          <w:tcPr>
            <w:tcW w:w="0" w:type="auto"/>
          </w:tcPr>
          <w:p w14:paraId="0062246D" w14:textId="77777777" w:rsidR="00745022" w:rsidRPr="00344878" w:rsidRDefault="00745022" w:rsidP="000A6D89">
            <w:pPr>
              <w:pStyle w:val="HangingIndent3"/>
              <w:spacing w:after="0"/>
              <w:ind w:left="0" w:firstLine="0"/>
              <w:jc w:val="center"/>
              <w:rPr>
                <w:rFonts w:ascii="Times New Roman" w:hAnsi="Times New Roman"/>
                <w:i/>
                <w:szCs w:val="24"/>
              </w:rPr>
            </w:pPr>
            <w:r w:rsidRPr="00344878">
              <w:rPr>
                <w:rFonts w:ascii="Times New Roman" w:hAnsi="Times New Roman"/>
                <w:i/>
                <w:szCs w:val="24"/>
              </w:rPr>
              <w:t>10%</w:t>
            </w:r>
          </w:p>
        </w:tc>
        <w:tc>
          <w:tcPr>
            <w:tcW w:w="0" w:type="auto"/>
          </w:tcPr>
          <w:p w14:paraId="501C24DE" w14:textId="3BED985B" w:rsidR="00745022" w:rsidRPr="00344878" w:rsidRDefault="00745022" w:rsidP="003E3DAE">
            <w:pPr>
              <w:pStyle w:val="HangingIndent3"/>
              <w:spacing w:after="0"/>
              <w:ind w:left="0" w:firstLine="0"/>
              <w:jc w:val="right"/>
              <w:rPr>
                <w:rFonts w:ascii="Times New Roman" w:hAnsi="Times New Roman"/>
                <w:i/>
                <w:szCs w:val="24"/>
              </w:rPr>
            </w:pPr>
            <w:r w:rsidRPr="00344878">
              <w:rPr>
                <w:rFonts w:ascii="Times New Roman" w:hAnsi="Times New Roman"/>
                <w:i/>
                <w:szCs w:val="24"/>
              </w:rPr>
              <w:t>$</w:t>
            </w:r>
            <w:r w:rsidR="00344878">
              <w:rPr>
                <w:rFonts w:ascii="Times New Roman" w:hAnsi="Times New Roman"/>
                <w:i/>
                <w:szCs w:val="24"/>
              </w:rPr>
              <w:t>1,</w:t>
            </w:r>
            <w:r w:rsidR="003E3DAE">
              <w:rPr>
                <w:rFonts w:ascii="Times New Roman" w:hAnsi="Times New Roman"/>
                <w:i/>
                <w:szCs w:val="24"/>
              </w:rPr>
              <w:t>905</w:t>
            </w:r>
          </w:p>
        </w:tc>
        <w:tc>
          <w:tcPr>
            <w:tcW w:w="0" w:type="auto"/>
          </w:tcPr>
          <w:p w14:paraId="62BF2620" w14:textId="0C823583" w:rsidR="00745022" w:rsidRPr="00344878" w:rsidRDefault="00745022" w:rsidP="000A6D89">
            <w:pPr>
              <w:pStyle w:val="HangingIndent3"/>
              <w:spacing w:after="60"/>
              <w:ind w:left="0" w:firstLine="0"/>
              <w:rPr>
                <w:rFonts w:ascii="Times New Roman" w:hAnsi="Times New Roman"/>
                <w:i/>
                <w:szCs w:val="24"/>
              </w:rPr>
            </w:pPr>
            <w:r w:rsidRPr="00344878">
              <w:rPr>
                <w:rFonts w:ascii="Times New Roman" w:hAnsi="Times New Roman"/>
                <w:i/>
                <w:szCs w:val="24"/>
              </w:rPr>
              <w:t>$</w:t>
            </w:r>
            <w:r w:rsidR="003E3DAE">
              <w:rPr>
                <w:rFonts w:ascii="Times New Roman" w:hAnsi="Times New Roman"/>
                <w:i/>
                <w:szCs w:val="24"/>
              </w:rPr>
              <w:t>19,050</w:t>
            </w:r>
            <w:r w:rsidR="0093652E">
              <w:rPr>
                <w:rFonts w:ascii="Times New Roman" w:hAnsi="Times New Roman"/>
                <w:i/>
                <w:szCs w:val="24"/>
              </w:rPr>
              <w:t xml:space="preserve"> </w:t>
            </w:r>
            <w:r w:rsidR="00007FF9">
              <w:rPr>
                <w:rFonts w:ascii="Times New Roman" w:hAnsi="Times New Roman"/>
                <w:i/>
                <w:szCs w:val="24"/>
              </w:rPr>
              <w:t>×</w:t>
            </w:r>
            <w:r w:rsidR="00007FF9" w:rsidRPr="00344878">
              <w:rPr>
                <w:rFonts w:ascii="Times New Roman" w:hAnsi="Times New Roman"/>
                <w:i/>
                <w:szCs w:val="24"/>
              </w:rPr>
              <w:t xml:space="preserve"> </w:t>
            </w:r>
            <w:r w:rsidRPr="00344878">
              <w:rPr>
                <w:rFonts w:ascii="Times New Roman" w:hAnsi="Times New Roman"/>
                <w:i/>
                <w:szCs w:val="24"/>
              </w:rPr>
              <w:t>10%</w:t>
            </w:r>
          </w:p>
          <w:p w14:paraId="5A267ACE" w14:textId="5D125863" w:rsidR="00745022" w:rsidRPr="00344878" w:rsidRDefault="00745022" w:rsidP="003E3DAE">
            <w:pPr>
              <w:pStyle w:val="HangingIndent3"/>
              <w:spacing w:after="60"/>
              <w:ind w:left="0" w:firstLine="0"/>
              <w:rPr>
                <w:rFonts w:ascii="Times New Roman" w:hAnsi="Times New Roman"/>
                <w:i/>
                <w:szCs w:val="24"/>
              </w:rPr>
            </w:pPr>
            <w:r w:rsidRPr="00344878">
              <w:rPr>
                <w:rFonts w:ascii="Times New Roman" w:hAnsi="Times New Roman"/>
                <w:i/>
                <w:szCs w:val="24"/>
              </w:rPr>
              <w:t>The first $</w:t>
            </w:r>
            <w:r w:rsidR="003E3DAE">
              <w:rPr>
                <w:rFonts w:ascii="Times New Roman" w:hAnsi="Times New Roman"/>
                <w:i/>
                <w:szCs w:val="24"/>
              </w:rPr>
              <w:t>19,050</w:t>
            </w:r>
            <w:r w:rsidR="00E53B86" w:rsidRPr="00344878">
              <w:rPr>
                <w:rFonts w:ascii="Times New Roman" w:hAnsi="Times New Roman"/>
                <w:i/>
                <w:szCs w:val="24"/>
              </w:rPr>
              <w:t xml:space="preserve"> </w:t>
            </w:r>
            <w:r w:rsidRPr="00344878">
              <w:rPr>
                <w:rFonts w:ascii="Times New Roman" w:hAnsi="Times New Roman"/>
                <w:i/>
                <w:szCs w:val="24"/>
              </w:rPr>
              <w:t>of Ron and Anne’s $21,000 of ordinary income is taxed at 10% (see MFJ tax rate schedule for this and other computations).</w:t>
            </w:r>
          </w:p>
        </w:tc>
      </w:tr>
      <w:tr w:rsidR="00A62E01" w:rsidRPr="00344878" w14:paraId="233991B5" w14:textId="77777777" w:rsidTr="00724467">
        <w:trPr>
          <w:jc w:val="center"/>
        </w:trPr>
        <w:tc>
          <w:tcPr>
            <w:tcW w:w="0" w:type="auto"/>
          </w:tcPr>
          <w:p w14:paraId="31019998" w14:textId="2EE6FFEA" w:rsidR="00745022" w:rsidRPr="00344878" w:rsidRDefault="00745022" w:rsidP="003E3DAE">
            <w:pPr>
              <w:pStyle w:val="HangingIndent3"/>
              <w:spacing w:after="0"/>
              <w:ind w:left="0" w:firstLine="0"/>
              <w:rPr>
                <w:rFonts w:ascii="Times New Roman" w:hAnsi="Times New Roman"/>
                <w:i/>
                <w:szCs w:val="24"/>
              </w:rPr>
            </w:pPr>
            <w:r w:rsidRPr="00344878">
              <w:rPr>
                <w:rFonts w:ascii="Times New Roman" w:hAnsi="Times New Roman"/>
                <w:i/>
                <w:szCs w:val="24"/>
              </w:rPr>
              <w:t>$</w:t>
            </w:r>
            <w:r w:rsidR="003E3DAE">
              <w:rPr>
                <w:rFonts w:ascii="Times New Roman" w:hAnsi="Times New Roman"/>
                <w:i/>
                <w:szCs w:val="24"/>
              </w:rPr>
              <w:t>1,950</w:t>
            </w:r>
            <w:r w:rsidRPr="00344878">
              <w:rPr>
                <w:rFonts w:ascii="Times New Roman" w:hAnsi="Times New Roman"/>
                <w:i/>
                <w:szCs w:val="24"/>
              </w:rPr>
              <w:t>; ordinary</w:t>
            </w:r>
          </w:p>
        </w:tc>
        <w:tc>
          <w:tcPr>
            <w:tcW w:w="0" w:type="auto"/>
          </w:tcPr>
          <w:p w14:paraId="256E28CC" w14:textId="10F14D99" w:rsidR="00745022" w:rsidRPr="00344878" w:rsidRDefault="00745022">
            <w:pPr>
              <w:pStyle w:val="HangingIndent3"/>
              <w:spacing w:after="0"/>
              <w:ind w:left="0" w:firstLine="0"/>
              <w:jc w:val="center"/>
              <w:rPr>
                <w:rFonts w:ascii="Times New Roman" w:hAnsi="Times New Roman"/>
                <w:i/>
                <w:szCs w:val="24"/>
              </w:rPr>
            </w:pPr>
            <w:r w:rsidRPr="00344878">
              <w:rPr>
                <w:rFonts w:ascii="Times New Roman" w:hAnsi="Times New Roman"/>
                <w:i/>
                <w:szCs w:val="24"/>
              </w:rPr>
              <w:t>1</w:t>
            </w:r>
            <w:r w:rsidR="00823484">
              <w:rPr>
                <w:rFonts w:ascii="Times New Roman" w:hAnsi="Times New Roman"/>
                <w:i/>
                <w:szCs w:val="24"/>
              </w:rPr>
              <w:t>2</w:t>
            </w:r>
            <w:r w:rsidRPr="00344878">
              <w:rPr>
                <w:rFonts w:ascii="Times New Roman" w:hAnsi="Times New Roman"/>
                <w:i/>
                <w:szCs w:val="24"/>
              </w:rPr>
              <w:t>%</w:t>
            </w:r>
          </w:p>
        </w:tc>
        <w:tc>
          <w:tcPr>
            <w:tcW w:w="0" w:type="auto"/>
          </w:tcPr>
          <w:p w14:paraId="0E1FE604" w14:textId="143A9AA9" w:rsidR="00745022" w:rsidRPr="00344878" w:rsidRDefault="00745022">
            <w:pPr>
              <w:pStyle w:val="HangingIndent3"/>
              <w:spacing w:after="0"/>
              <w:ind w:left="0" w:firstLine="0"/>
              <w:jc w:val="right"/>
              <w:rPr>
                <w:rFonts w:ascii="Times New Roman" w:hAnsi="Times New Roman"/>
                <w:i/>
                <w:szCs w:val="24"/>
              </w:rPr>
            </w:pPr>
            <w:r w:rsidRPr="00344878">
              <w:rPr>
                <w:rFonts w:ascii="Times New Roman" w:hAnsi="Times New Roman"/>
                <w:i/>
                <w:szCs w:val="24"/>
              </w:rPr>
              <w:t>$</w:t>
            </w:r>
            <w:r w:rsidR="00823484">
              <w:rPr>
                <w:rFonts w:ascii="Times New Roman" w:hAnsi="Times New Roman"/>
                <w:i/>
                <w:szCs w:val="24"/>
              </w:rPr>
              <w:t>234</w:t>
            </w:r>
          </w:p>
        </w:tc>
        <w:tc>
          <w:tcPr>
            <w:tcW w:w="0" w:type="auto"/>
          </w:tcPr>
          <w:p w14:paraId="78C7DB00" w14:textId="274C0217" w:rsidR="00745022" w:rsidRPr="00344878" w:rsidRDefault="00745022" w:rsidP="000A6D89">
            <w:pPr>
              <w:pStyle w:val="HangingIndent3"/>
              <w:spacing w:after="60"/>
              <w:ind w:left="0" w:firstLine="0"/>
              <w:rPr>
                <w:rFonts w:ascii="Times New Roman" w:hAnsi="Times New Roman"/>
                <w:i/>
                <w:szCs w:val="24"/>
              </w:rPr>
            </w:pPr>
            <w:r w:rsidRPr="00344878">
              <w:rPr>
                <w:rFonts w:ascii="Times New Roman" w:hAnsi="Times New Roman"/>
                <w:i/>
                <w:szCs w:val="24"/>
              </w:rPr>
              <w:t>$</w:t>
            </w:r>
            <w:r w:rsidR="003E3DAE">
              <w:rPr>
                <w:rFonts w:ascii="Times New Roman" w:hAnsi="Times New Roman"/>
                <w:i/>
                <w:szCs w:val="24"/>
              </w:rPr>
              <w:t>1,950</w:t>
            </w:r>
            <w:r w:rsidR="00E53B86" w:rsidRPr="00344878">
              <w:rPr>
                <w:rFonts w:ascii="Times New Roman" w:hAnsi="Times New Roman"/>
                <w:i/>
                <w:szCs w:val="24"/>
              </w:rPr>
              <w:t xml:space="preserve"> </w:t>
            </w:r>
            <w:r w:rsidR="00007FF9">
              <w:rPr>
                <w:rFonts w:ascii="Times New Roman" w:hAnsi="Times New Roman"/>
                <w:i/>
                <w:szCs w:val="24"/>
              </w:rPr>
              <w:t>×</w:t>
            </w:r>
            <w:r w:rsidR="00007FF9" w:rsidRPr="00344878">
              <w:rPr>
                <w:rFonts w:ascii="Times New Roman" w:hAnsi="Times New Roman"/>
                <w:i/>
                <w:szCs w:val="24"/>
              </w:rPr>
              <w:t xml:space="preserve"> </w:t>
            </w:r>
            <w:r w:rsidRPr="00344878">
              <w:rPr>
                <w:rFonts w:ascii="Times New Roman" w:hAnsi="Times New Roman"/>
                <w:i/>
                <w:szCs w:val="24"/>
              </w:rPr>
              <w:t>1</w:t>
            </w:r>
            <w:r w:rsidR="00823484">
              <w:rPr>
                <w:rFonts w:ascii="Times New Roman" w:hAnsi="Times New Roman"/>
                <w:i/>
                <w:szCs w:val="24"/>
              </w:rPr>
              <w:t>2</w:t>
            </w:r>
            <w:r w:rsidRPr="00344878">
              <w:rPr>
                <w:rFonts w:ascii="Times New Roman" w:hAnsi="Times New Roman"/>
                <w:i/>
                <w:szCs w:val="24"/>
              </w:rPr>
              <w:t>%.</w:t>
            </w:r>
          </w:p>
          <w:p w14:paraId="26298E01" w14:textId="29F8E4C7" w:rsidR="00745022" w:rsidRPr="00344878" w:rsidRDefault="00745022" w:rsidP="003E3DAE">
            <w:pPr>
              <w:pStyle w:val="HangingIndent3"/>
              <w:spacing w:after="60"/>
              <w:ind w:left="0" w:firstLine="0"/>
              <w:rPr>
                <w:rFonts w:ascii="Times New Roman" w:hAnsi="Times New Roman"/>
                <w:i/>
                <w:szCs w:val="24"/>
              </w:rPr>
            </w:pPr>
            <w:r w:rsidRPr="00344878">
              <w:rPr>
                <w:rFonts w:ascii="Times New Roman" w:hAnsi="Times New Roman"/>
                <w:i/>
                <w:szCs w:val="24"/>
              </w:rPr>
              <w:t>Ron and Anne’s remaining $</w:t>
            </w:r>
            <w:r w:rsidR="003E3DAE">
              <w:rPr>
                <w:rFonts w:ascii="Times New Roman" w:hAnsi="Times New Roman"/>
                <w:i/>
                <w:szCs w:val="24"/>
              </w:rPr>
              <w:t>1,950</w:t>
            </w:r>
            <w:r w:rsidR="00E53B86" w:rsidRPr="00344878">
              <w:rPr>
                <w:rFonts w:ascii="Times New Roman" w:hAnsi="Times New Roman"/>
                <w:i/>
                <w:szCs w:val="24"/>
              </w:rPr>
              <w:t xml:space="preserve"> </w:t>
            </w:r>
            <w:r w:rsidRPr="00344878">
              <w:rPr>
                <w:rFonts w:ascii="Times New Roman" w:hAnsi="Times New Roman"/>
                <w:i/>
                <w:szCs w:val="24"/>
              </w:rPr>
              <w:t xml:space="preserve">of ordinary income (21,000 – </w:t>
            </w:r>
            <w:r w:rsidR="003E3DAE">
              <w:rPr>
                <w:rFonts w:ascii="Times New Roman" w:hAnsi="Times New Roman"/>
                <w:i/>
                <w:szCs w:val="24"/>
              </w:rPr>
              <w:t>19,050</w:t>
            </w:r>
            <w:r w:rsidRPr="00344878">
              <w:rPr>
                <w:rFonts w:ascii="Times New Roman" w:hAnsi="Times New Roman"/>
                <w:i/>
                <w:szCs w:val="24"/>
              </w:rPr>
              <w:t>) is taxed at 1</w:t>
            </w:r>
            <w:r w:rsidR="00823484">
              <w:rPr>
                <w:rFonts w:ascii="Times New Roman" w:hAnsi="Times New Roman"/>
                <w:i/>
                <w:szCs w:val="24"/>
              </w:rPr>
              <w:t>2</w:t>
            </w:r>
            <w:r w:rsidRPr="00344878">
              <w:rPr>
                <w:rFonts w:ascii="Times New Roman" w:hAnsi="Times New Roman"/>
                <w:i/>
                <w:szCs w:val="24"/>
              </w:rPr>
              <w:t>%.</w:t>
            </w:r>
          </w:p>
        </w:tc>
      </w:tr>
      <w:tr w:rsidR="00A62E01" w:rsidRPr="00344878" w14:paraId="09F03A43" w14:textId="77777777" w:rsidTr="00724467">
        <w:trPr>
          <w:jc w:val="center"/>
        </w:trPr>
        <w:tc>
          <w:tcPr>
            <w:tcW w:w="0" w:type="auto"/>
          </w:tcPr>
          <w:p w14:paraId="7297A252" w14:textId="77777777" w:rsidR="00745022" w:rsidRPr="00344878" w:rsidRDefault="00745022" w:rsidP="000A6D89">
            <w:pPr>
              <w:pStyle w:val="HangingIndent3"/>
              <w:spacing w:after="0"/>
              <w:ind w:left="0" w:firstLine="0"/>
              <w:rPr>
                <w:rFonts w:ascii="Times New Roman" w:hAnsi="Times New Roman"/>
                <w:i/>
                <w:szCs w:val="24"/>
              </w:rPr>
            </w:pPr>
            <w:r w:rsidRPr="00344878">
              <w:rPr>
                <w:rFonts w:ascii="Times New Roman" w:hAnsi="Times New Roman"/>
                <w:i/>
                <w:szCs w:val="24"/>
              </w:rPr>
              <w:t>$30,000; 25% rate capital gain</w:t>
            </w:r>
          </w:p>
        </w:tc>
        <w:tc>
          <w:tcPr>
            <w:tcW w:w="0" w:type="auto"/>
          </w:tcPr>
          <w:p w14:paraId="3E3B0E43" w14:textId="4C6D7784" w:rsidR="00745022" w:rsidRPr="00344878" w:rsidRDefault="00745022">
            <w:pPr>
              <w:pStyle w:val="HangingIndent3"/>
              <w:spacing w:after="0"/>
              <w:ind w:left="0" w:firstLine="0"/>
              <w:jc w:val="center"/>
              <w:rPr>
                <w:rFonts w:ascii="Times New Roman" w:hAnsi="Times New Roman"/>
                <w:i/>
                <w:szCs w:val="24"/>
              </w:rPr>
            </w:pPr>
            <w:r w:rsidRPr="00344878">
              <w:rPr>
                <w:rFonts w:ascii="Times New Roman" w:hAnsi="Times New Roman"/>
                <w:i/>
                <w:szCs w:val="24"/>
              </w:rPr>
              <w:t>1</w:t>
            </w:r>
            <w:r w:rsidR="00823484">
              <w:rPr>
                <w:rFonts w:ascii="Times New Roman" w:hAnsi="Times New Roman"/>
                <w:i/>
                <w:szCs w:val="24"/>
              </w:rPr>
              <w:t>2</w:t>
            </w:r>
            <w:r w:rsidRPr="00344878">
              <w:rPr>
                <w:rFonts w:ascii="Times New Roman" w:hAnsi="Times New Roman"/>
                <w:i/>
                <w:szCs w:val="24"/>
              </w:rPr>
              <w:t>%</w:t>
            </w:r>
          </w:p>
        </w:tc>
        <w:tc>
          <w:tcPr>
            <w:tcW w:w="0" w:type="auto"/>
          </w:tcPr>
          <w:p w14:paraId="7A9EFE85" w14:textId="1E8ED8E6" w:rsidR="00745022" w:rsidRPr="00344878" w:rsidRDefault="00745022">
            <w:pPr>
              <w:pStyle w:val="HangingIndent3"/>
              <w:spacing w:after="0"/>
              <w:ind w:left="0" w:firstLine="0"/>
              <w:jc w:val="right"/>
              <w:rPr>
                <w:rFonts w:ascii="Times New Roman" w:hAnsi="Times New Roman"/>
                <w:i/>
                <w:szCs w:val="24"/>
              </w:rPr>
            </w:pPr>
            <w:r w:rsidRPr="00344878">
              <w:rPr>
                <w:rFonts w:ascii="Times New Roman" w:hAnsi="Times New Roman"/>
                <w:i/>
                <w:szCs w:val="24"/>
              </w:rPr>
              <w:t>$</w:t>
            </w:r>
            <w:r w:rsidR="00823484">
              <w:rPr>
                <w:rFonts w:ascii="Times New Roman" w:hAnsi="Times New Roman"/>
                <w:i/>
                <w:szCs w:val="24"/>
              </w:rPr>
              <w:t>3,600</w:t>
            </w:r>
          </w:p>
        </w:tc>
        <w:tc>
          <w:tcPr>
            <w:tcW w:w="0" w:type="auto"/>
          </w:tcPr>
          <w:p w14:paraId="409740E2" w14:textId="6923B024" w:rsidR="00745022" w:rsidRPr="00344878" w:rsidRDefault="00D720A2" w:rsidP="000A6D89">
            <w:pPr>
              <w:pStyle w:val="HangingIndent3"/>
              <w:spacing w:after="60"/>
              <w:ind w:left="0" w:firstLine="0"/>
              <w:rPr>
                <w:rFonts w:ascii="Times New Roman" w:hAnsi="Times New Roman"/>
                <w:i/>
                <w:szCs w:val="24"/>
              </w:rPr>
            </w:pPr>
            <w:r>
              <w:rPr>
                <w:rFonts w:ascii="Times New Roman" w:hAnsi="Times New Roman"/>
                <w:i/>
                <w:szCs w:val="24"/>
              </w:rPr>
              <w:t>$</w:t>
            </w:r>
            <w:r w:rsidR="00745022" w:rsidRPr="00344878">
              <w:rPr>
                <w:rFonts w:ascii="Times New Roman" w:hAnsi="Times New Roman"/>
                <w:i/>
                <w:szCs w:val="24"/>
              </w:rPr>
              <w:t xml:space="preserve">30,000 </w:t>
            </w:r>
            <w:r w:rsidR="00007FF9">
              <w:rPr>
                <w:rFonts w:ascii="Times New Roman" w:hAnsi="Times New Roman"/>
                <w:i/>
                <w:szCs w:val="24"/>
              </w:rPr>
              <w:t>×</w:t>
            </w:r>
            <w:r w:rsidR="00007FF9" w:rsidRPr="00344878">
              <w:rPr>
                <w:rFonts w:ascii="Times New Roman" w:hAnsi="Times New Roman"/>
                <w:i/>
                <w:szCs w:val="24"/>
              </w:rPr>
              <w:t xml:space="preserve"> </w:t>
            </w:r>
            <w:r w:rsidR="00745022" w:rsidRPr="00344878">
              <w:rPr>
                <w:rFonts w:ascii="Times New Roman" w:hAnsi="Times New Roman"/>
                <w:i/>
                <w:szCs w:val="24"/>
              </w:rPr>
              <w:t>1</w:t>
            </w:r>
            <w:r w:rsidR="00823484">
              <w:rPr>
                <w:rFonts w:ascii="Times New Roman" w:hAnsi="Times New Roman"/>
                <w:i/>
                <w:szCs w:val="24"/>
              </w:rPr>
              <w:t>2</w:t>
            </w:r>
            <w:r w:rsidR="00745022" w:rsidRPr="00344878">
              <w:rPr>
                <w:rFonts w:ascii="Times New Roman" w:hAnsi="Times New Roman"/>
                <w:i/>
                <w:szCs w:val="24"/>
              </w:rPr>
              <w:t>%</w:t>
            </w:r>
          </w:p>
          <w:p w14:paraId="05A0EEA7" w14:textId="2EA8150D" w:rsidR="00745022" w:rsidRPr="00344878" w:rsidRDefault="00823484" w:rsidP="000A6D89">
            <w:pPr>
              <w:pStyle w:val="HangingIndent3"/>
              <w:spacing w:after="60"/>
              <w:ind w:left="0" w:firstLine="0"/>
              <w:rPr>
                <w:rFonts w:ascii="Times New Roman" w:hAnsi="Times New Roman"/>
                <w:i/>
                <w:szCs w:val="24"/>
              </w:rPr>
            </w:pPr>
            <w:r>
              <w:rPr>
                <w:rFonts w:ascii="Times New Roman" w:hAnsi="Times New Roman"/>
                <w:i/>
                <w:szCs w:val="24"/>
              </w:rPr>
              <w:t>The 25% gains are taxed at the lower of Ron and Anne’s marginal tax rate (12%) or 25%. In this case, the $30,000 of gains will be taxed at 12%.</w:t>
            </w:r>
          </w:p>
        </w:tc>
      </w:tr>
      <w:tr w:rsidR="00A62E01" w:rsidRPr="00344878" w14:paraId="329020C9" w14:textId="77777777" w:rsidTr="00724467">
        <w:trPr>
          <w:jc w:val="center"/>
        </w:trPr>
        <w:tc>
          <w:tcPr>
            <w:tcW w:w="0" w:type="auto"/>
          </w:tcPr>
          <w:p w14:paraId="5FF7DBA7" w14:textId="77777777" w:rsidR="00745022" w:rsidRPr="00344878" w:rsidRDefault="00745022" w:rsidP="000A6D89">
            <w:pPr>
              <w:pStyle w:val="HangingIndent3"/>
              <w:spacing w:after="0"/>
              <w:ind w:left="0" w:firstLine="0"/>
              <w:rPr>
                <w:rFonts w:ascii="Times New Roman" w:hAnsi="Times New Roman"/>
                <w:i/>
                <w:szCs w:val="24"/>
              </w:rPr>
            </w:pPr>
            <w:r w:rsidRPr="00344878">
              <w:rPr>
                <w:rFonts w:ascii="Times New Roman" w:hAnsi="Times New Roman"/>
                <w:i/>
                <w:szCs w:val="24"/>
              </w:rPr>
              <w:t>$3,000 28% rate capital gains</w:t>
            </w:r>
          </w:p>
        </w:tc>
        <w:tc>
          <w:tcPr>
            <w:tcW w:w="0" w:type="auto"/>
          </w:tcPr>
          <w:p w14:paraId="42B2822A" w14:textId="192944F3" w:rsidR="00745022" w:rsidRPr="00344878" w:rsidRDefault="00745022">
            <w:pPr>
              <w:pStyle w:val="HangingIndent3"/>
              <w:spacing w:after="0"/>
              <w:ind w:left="0" w:firstLine="0"/>
              <w:jc w:val="center"/>
              <w:rPr>
                <w:rFonts w:ascii="Times New Roman" w:hAnsi="Times New Roman"/>
                <w:i/>
                <w:szCs w:val="24"/>
              </w:rPr>
            </w:pPr>
            <w:r w:rsidRPr="00344878">
              <w:rPr>
                <w:rFonts w:ascii="Times New Roman" w:hAnsi="Times New Roman"/>
                <w:i/>
                <w:szCs w:val="24"/>
              </w:rPr>
              <w:t>1</w:t>
            </w:r>
            <w:r w:rsidR="00823484">
              <w:rPr>
                <w:rFonts w:ascii="Times New Roman" w:hAnsi="Times New Roman"/>
                <w:i/>
                <w:szCs w:val="24"/>
              </w:rPr>
              <w:t>2</w:t>
            </w:r>
            <w:r w:rsidRPr="00344878">
              <w:rPr>
                <w:rFonts w:ascii="Times New Roman" w:hAnsi="Times New Roman"/>
                <w:i/>
                <w:szCs w:val="24"/>
              </w:rPr>
              <w:t>%</w:t>
            </w:r>
          </w:p>
        </w:tc>
        <w:tc>
          <w:tcPr>
            <w:tcW w:w="0" w:type="auto"/>
          </w:tcPr>
          <w:p w14:paraId="55385FB2" w14:textId="5F46D905" w:rsidR="00745022" w:rsidRPr="00344878" w:rsidRDefault="00745022">
            <w:pPr>
              <w:pStyle w:val="HangingIndent3"/>
              <w:spacing w:after="0"/>
              <w:ind w:left="0" w:firstLine="0"/>
              <w:jc w:val="right"/>
              <w:rPr>
                <w:rFonts w:ascii="Times New Roman" w:hAnsi="Times New Roman"/>
                <w:i/>
                <w:szCs w:val="24"/>
              </w:rPr>
            </w:pPr>
            <w:r w:rsidRPr="00344878">
              <w:rPr>
                <w:rFonts w:ascii="Times New Roman" w:hAnsi="Times New Roman"/>
                <w:i/>
                <w:szCs w:val="24"/>
              </w:rPr>
              <w:t>$</w:t>
            </w:r>
            <w:r w:rsidR="00823484">
              <w:rPr>
                <w:rFonts w:ascii="Times New Roman" w:hAnsi="Times New Roman"/>
                <w:i/>
                <w:szCs w:val="24"/>
              </w:rPr>
              <w:t>360</w:t>
            </w:r>
          </w:p>
        </w:tc>
        <w:tc>
          <w:tcPr>
            <w:tcW w:w="0" w:type="auto"/>
          </w:tcPr>
          <w:p w14:paraId="6EBC12B7" w14:textId="3C007E3E" w:rsidR="00745022" w:rsidRPr="00344878" w:rsidRDefault="00745022" w:rsidP="000A6D89">
            <w:pPr>
              <w:pStyle w:val="HangingIndent3"/>
              <w:spacing w:after="60"/>
              <w:ind w:left="0" w:firstLine="0"/>
              <w:rPr>
                <w:rFonts w:ascii="Times New Roman" w:hAnsi="Times New Roman"/>
                <w:i/>
                <w:szCs w:val="24"/>
              </w:rPr>
            </w:pPr>
            <w:r w:rsidRPr="00344878">
              <w:rPr>
                <w:rFonts w:ascii="Times New Roman" w:hAnsi="Times New Roman"/>
                <w:i/>
                <w:szCs w:val="24"/>
              </w:rPr>
              <w:t xml:space="preserve">$3,000 </w:t>
            </w:r>
            <w:r w:rsidR="00007FF9">
              <w:rPr>
                <w:rFonts w:ascii="Times New Roman" w:hAnsi="Times New Roman"/>
                <w:i/>
                <w:szCs w:val="24"/>
              </w:rPr>
              <w:t>×</w:t>
            </w:r>
            <w:r w:rsidR="00007FF9" w:rsidRPr="00344878">
              <w:rPr>
                <w:rFonts w:ascii="Times New Roman" w:hAnsi="Times New Roman"/>
                <w:i/>
                <w:szCs w:val="24"/>
              </w:rPr>
              <w:t xml:space="preserve"> </w:t>
            </w:r>
            <w:r w:rsidRPr="00344878">
              <w:rPr>
                <w:rFonts w:ascii="Times New Roman" w:hAnsi="Times New Roman"/>
                <w:i/>
                <w:szCs w:val="24"/>
              </w:rPr>
              <w:t>1</w:t>
            </w:r>
            <w:r w:rsidR="00823484">
              <w:rPr>
                <w:rFonts w:ascii="Times New Roman" w:hAnsi="Times New Roman"/>
                <w:i/>
                <w:szCs w:val="24"/>
              </w:rPr>
              <w:t>2</w:t>
            </w:r>
            <w:r w:rsidRPr="00344878">
              <w:rPr>
                <w:rFonts w:ascii="Times New Roman" w:hAnsi="Times New Roman"/>
                <w:i/>
                <w:szCs w:val="24"/>
              </w:rPr>
              <w:t>%</w:t>
            </w:r>
          </w:p>
          <w:p w14:paraId="4026FBA1" w14:textId="52542E07" w:rsidR="00745022" w:rsidRPr="00344878" w:rsidRDefault="00745022">
            <w:pPr>
              <w:pStyle w:val="HangingIndent3"/>
              <w:spacing w:after="60"/>
              <w:ind w:left="0" w:firstLine="0"/>
              <w:rPr>
                <w:rFonts w:ascii="Times New Roman" w:hAnsi="Times New Roman"/>
                <w:i/>
                <w:szCs w:val="24"/>
              </w:rPr>
            </w:pPr>
            <w:r w:rsidRPr="00344878">
              <w:rPr>
                <w:rFonts w:ascii="Times New Roman" w:hAnsi="Times New Roman"/>
                <w:i/>
                <w:szCs w:val="24"/>
              </w:rPr>
              <w:t xml:space="preserve"> </w:t>
            </w:r>
            <w:r w:rsidR="00823484">
              <w:rPr>
                <w:rFonts w:ascii="Times New Roman" w:hAnsi="Times New Roman"/>
                <w:i/>
                <w:szCs w:val="24"/>
              </w:rPr>
              <w:t>The 28% gains are taxed at the lower of Ron and Anne’s marginal tax rate (12%) or 28%. In this case, the $3,000 of gains will be taxed at 12%.</w:t>
            </w:r>
            <w:r w:rsidRPr="00344878">
              <w:rPr>
                <w:rFonts w:ascii="Times New Roman" w:hAnsi="Times New Roman"/>
                <w:i/>
                <w:szCs w:val="24"/>
              </w:rPr>
              <w:t xml:space="preserve"> </w:t>
            </w:r>
          </w:p>
        </w:tc>
      </w:tr>
      <w:tr w:rsidR="00A62E01" w:rsidRPr="00344878" w14:paraId="11B59D82" w14:textId="77777777" w:rsidTr="00724467">
        <w:trPr>
          <w:jc w:val="center"/>
        </w:trPr>
        <w:tc>
          <w:tcPr>
            <w:tcW w:w="0" w:type="auto"/>
          </w:tcPr>
          <w:p w14:paraId="5E469BEE" w14:textId="79F7D9CD" w:rsidR="00745022" w:rsidRPr="00344878" w:rsidRDefault="00745022" w:rsidP="003E3DAE">
            <w:pPr>
              <w:pStyle w:val="HangingIndent3"/>
              <w:spacing w:after="0"/>
              <w:ind w:left="0" w:firstLine="0"/>
              <w:rPr>
                <w:rFonts w:ascii="Times New Roman" w:hAnsi="Times New Roman"/>
                <w:i/>
                <w:szCs w:val="24"/>
              </w:rPr>
            </w:pPr>
            <w:r w:rsidRPr="00344878">
              <w:rPr>
                <w:rFonts w:ascii="Times New Roman" w:hAnsi="Times New Roman"/>
                <w:i/>
                <w:szCs w:val="24"/>
              </w:rPr>
              <w:t>$</w:t>
            </w:r>
            <w:r w:rsidR="003E3DAE">
              <w:rPr>
                <w:rFonts w:ascii="Times New Roman" w:hAnsi="Times New Roman"/>
                <w:i/>
                <w:szCs w:val="24"/>
              </w:rPr>
              <w:t>23,</w:t>
            </w:r>
            <w:r w:rsidR="00B55459">
              <w:rPr>
                <w:rFonts w:ascii="Times New Roman" w:hAnsi="Times New Roman"/>
                <w:i/>
                <w:szCs w:val="24"/>
              </w:rPr>
              <w:t>2</w:t>
            </w:r>
            <w:r w:rsidR="003E3DAE">
              <w:rPr>
                <w:rFonts w:ascii="Times New Roman" w:hAnsi="Times New Roman"/>
                <w:i/>
                <w:szCs w:val="24"/>
              </w:rPr>
              <w:t>00</w:t>
            </w:r>
            <w:r w:rsidRPr="00344878">
              <w:rPr>
                <w:rFonts w:ascii="Times New Roman" w:hAnsi="Times New Roman"/>
                <w:i/>
                <w:szCs w:val="24"/>
              </w:rPr>
              <w:t xml:space="preserve">; </w:t>
            </w:r>
            <w:r w:rsidR="00801F2C">
              <w:rPr>
                <w:rFonts w:ascii="Times New Roman" w:hAnsi="Times New Roman"/>
                <w:i/>
                <w:szCs w:val="24"/>
              </w:rPr>
              <w:t>0/15/</w:t>
            </w:r>
            <w:r w:rsidR="00BA44CF">
              <w:rPr>
                <w:rFonts w:ascii="Times New Roman" w:hAnsi="Times New Roman"/>
                <w:i/>
                <w:szCs w:val="24"/>
              </w:rPr>
              <w:t>20</w:t>
            </w:r>
            <w:r w:rsidRPr="00344878">
              <w:rPr>
                <w:rFonts w:ascii="Times New Roman" w:hAnsi="Times New Roman"/>
                <w:i/>
                <w:szCs w:val="24"/>
              </w:rPr>
              <w:t>% rate capital gains</w:t>
            </w:r>
          </w:p>
        </w:tc>
        <w:tc>
          <w:tcPr>
            <w:tcW w:w="0" w:type="auto"/>
          </w:tcPr>
          <w:p w14:paraId="55D8DC4A" w14:textId="77777777" w:rsidR="00745022" w:rsidRPr="00344878" w:rsidRDefault="00745022" w:rsidP="000A6D89">
            <w:pPr>
              <w:pStyle w:val="HangingIndent3"/>
              <w:spacing w:after="0"/>
              <w:ind w:left="0" w:firstLine="0"/>
              <w:jc w:val="center"/>
              <w:rPr>
                <w:rFonts w:ascii="Times New Roman" w:hAnsi="Times New Roman"/>
                <w:i/>
                <w:szCs w:val="24"/>
              </w:rPr>
            </w:pPr>
          </w:p>
          <w:p w14:paraId="7B87F31F" w14:textId="77777777" w:rsidR="00745022" w:rsidRPr="00344878" w:rsidRDefault="00745022" w:rsidP="000A6D89">
            <w:pPr>
              <w:pStyle w:val="HangingIndent3"/>
              <w:spacing w:after="0"/>
              <w:ind w:left="0" w:firstLine="0"/>
              <w:jc w:val="center"/>
              <w:rPr>
                <w:rFonts w:ascii="Times New Roman" w:hAnsi="Times New Roman"/>
                <w:i/>
                <w:szCs w:val="24"/>
              </w:rPr>
            </w:pPr>
            <w:r w:rsidRPr="00344878">
              <w:rPr>
                <w:rFonts w:ascii="Times New Roman" w:hAnsi="Times New Roman"/>
                <w:i/>
                <w:szCs w:val="24"/>
              </w:rPr>
              <w:t>0%</w:t>
            </w:r>
          </w:p>
        </w:tc>
        <w:tc>
          <w:tcPr>
            <w:tcW w:w="0" w:type="auto"/>
          </w:tcPr>
          <w:p w14:paraId="2986F036" w14:textId="77777777" w:rsidR="00745022" w:rsidRPr="00344878" w:rsidRDefault="00745022" w:rsidP="000A6D89">
            <w:pPr>
              <w:pStyle w:val="HangingIndent3"/>
              <w:spacing w:after="0"/>
              <w:ind w:left="0" w:firstLine="0"/>
              <w:jc w:val="right"/>
              <w:rPr>
                <w:rFonts w:ascii="Times New Roman" w:hAnsi="Times New Roman"/>
                <w:i/>
                <w:szCs w:val="24"/>
                <w:u w:val="single"/>
              </w:rPr>
            </w:pPr>
          </w:p>
          <w:p w14:paraId="38BA1C83" w14:textId="77777777" w:rsidR="00745022" w:rsidRPr="00344878" w:rsidRDefault="00745022" w:rsidP="00C12382">
            <w:pPr>
              <w:pStyle w:val="HangingIndent3"/>
              <w:spacing w:after="0"/>
              <w:ind w:left="0" w:firstLine="0"/>
              <w:jc w:val="right"/>
              <w:rPr>
                <w:rFonts w:ascii="Times New Roman" w:hAnsi="Times New Roman"/>
                <w:i/>
                <w:szCs w:val="24"/>
              </w:rPr>
            </w:pPr>
            <w:r w:rsidRPr="00344878">
              <w:rPr>
                <w:rFonts w:ascii="Times New Roman" w:hAnsi="Times New Roman"/>
                <w:i/>
                <w:szCs w:val="24"/>
              </w:rPr>
              <w:t>$0</w:t>
            </w:r>
          </w:p>
        </w:tc>
        <w:tc>
          <w:tcPr>
            <w:tcW w:w="0" w:type="auto"/>
          </w:tcPr>
          <w:p w14:paraId="56E49FB6" w14:textId="346B800A" w:rsidR="00745022" w:rsidRPr="00344878" w:rsidRDefault="00745022" w:rsidP="000A6D89">
            <w:pPr>
              <w:pStyle w:val="HangingIndent3"/>
              <w:spacing w:after="60"/>
              <w:ind w:left="0" w:firstLine="0"/>
              <w:rPr>
                <w:rFonts w:ascii="Times New Roman" w:hAnsi="Times New Roman"/>
                <w:i/>
                <w:szCs w:val="24"/>
              </w:rPr>
            </w:pPr>
            <w:r w:rsidRPr="00344878">
              <w:rPr>
                <w:rFonts w:ascii="Times New Roman" w:hAnsi="Times New Roman"/>
                <w:i/>
                <w:szCs w:val="24"/>
              </w:rPr>
              <w:t>$</w:t>
            </w:r>
            <w:r w:rsidR="003E3DAE">
              <w:rPr>
                <w:rFonts w:ascii="Times New Roman" w:hAnsi="Times New Roman"/>
                <w:i/>
                <w:szCs w:val="24"/>
              </w:rPr>
              <w:t>23,</w:t>
            </w:r>
            <w:r w:rsidR="00B55459">
              <w:rPr>
                <w:rFonts w:ascii="Times New Roman" w:hAnsi="Times New Roman"/>
                <w:i/>
                <w:szCs w:val="24"/>
              </w:rPr>
              <w:t>2</w:t>
            </w:r>
            <w:r w:rsidR="003E3DAE">
              <w:rPr>
                <w:rFonts w:ascii="Times New Roman" w:hAnsi="Times New Roman"/>
                <w:i/>
                <w:szCs w:val="24"/>
              </w:rPr>
              <w:t>00</w:t>
            </w:r>
            <w:r w:rsidR="008512DA">
              <w:rPr>
                <w:rFonts w:ascii="Times New Roman" w:hAnsi="Times New Roman"/>
                <w:i/>
                <w:szCs w:val="24"/>
              </w:rPr>
              <w:t xml:space="preserve"> </w:t>
            </w:r>
            <w:r w:rsidR="00007FF9">
              <w:rPr>
                <w:rFonts w:ascii="Times New Roman" w:hAnsi="Times New Roman"/>
                <w:i/>
                <w:szCs w:val="24"/>
              </w:rPr>
              <w:t>×</w:t>
            </w:r>
            <w:r w:rsidR="00007FF9" w:rsidRPr="00344878">
              <w:rPr>
                <w:rFonts w:ascii="Times New Roman" w:hAnsi="Times New Roman"/>
                <w:i/>
                <w:szCs w:val="24"/>
              </w:rPr>
              <w:t xml:space="preserve"> </w:t>
            </w:r>
            <w:r w:rsidRPr="00344878">
              <w:rPr>
                <w:rFonts w:ascii="Times New Roman" w:hAnsi="Times New Roman"/>
                <w:i/>
                <w:szCs w:val="24"/>
              </w:rPr>
              <w:t>0%</w:t>
            </w:r>
          </w:p>
          <w:p w14:paraId="1BCFE5F5" w14:textId="277C7090" w:rsidR="00745022" w:rsidRPr="00344878" w:rsidRDefault="00745022">
            <w:pPr>
              <w:pStyle w:val="HangingIndent3"/>
              <w:spacing w:after="60"/>
              <w:ind w:left="0" w:firstLine="0"/>
              <w:rPr>
                <w:rFonts w:ascii="Times New Roman" w:hAnsi="Times New Roman"/>
                <w:i/>
                <w:szCs w:val="24"/>
              </w:rPr>
            </w:pPr>
            <w:r w:rsidRPr="00344878">
              <w:rPr>
                <w:rFonts w:ascii="Times New Roman" w:hAnsi="Times New Roman"/>
                <w:i/>
                <w:szCs w:val="24"/>
              </w:rPr>
              <w:t>$</w:t>
            </w:r>
            <w:r w:rsidR="003E3DAE">
              <w:rPr>
                <w:rFonts w:ascii="Times New Roman" w:hAnsi="Times New Roman"/>
                <w:i/>
                <w:szCs w:val="24"/>
              </w:rPr>
              <w:t>23,</w:t>
            </w:r>
            <w:r w:rsidR="00B55459">
              <w:rPr>
                <w:rFonts w:ascii="Times New Roman" w:hAnsi="Times New Roman"/>
                <w:i/>
                <w:szCs w:val="24"/>
              </w:rPr>
              <w:t>2</w:t>
            </w:r>
            <w:r w:rsidR="003E3DAE">
              <w:rPr>
                <w:rFonts w:ascii="Times New Roman" w:hAnsi="Times New Roman"/>
                <w:i/>
                <w:szCs w:val="24"/>
              </w:rPr>
              <w:t>00</w:t>
            </w:r>
            <w:r w:rsidR="00143224" w:rsidRPr="00A818E8">
              <w:rPr>
                <w:rFonts w:ascii="Times New Roman" w:hAnsi="Times New Roman"/>
                <w:i/>
                <w:szCs w:val="24"/>
              </w:rPr>
              <w:t xml:space="preserve"> </w:t>
            </w:r>
            <w:r w:rsidRPr="00344878">
              <w:rPr>
                <w:rFonts w:ascii="Times New Roman" w:hAnsi="Times New Roman"/>
                <w:i/>
                <w:szCs w:val="24"/>
              </w:rPr>
              <w:t>($</w:t>
            </w:r>
            <w:r w:rsidR="003E3DAE">
              <w:rPr>
                <w:rFonts w:ascii="Times New Roman" w:hAnsi="Times New Roman"/>
                <w:i/>
                <w:szCs w:val="24"/>
              </w:rPr>
              <w:t>77,</w:t>
            </w:r>
            <w:r w:rsidR="00B55459">
              <w:rPr>
                <w:rFonts w:ascii="Times New Roman" w:hAnsi="Times New Roman"/>
                <w:i/>
                <w:szCs w:val="24"/>
              </w:rPr>
              <w:t>2</w:t>
            </w:r>
            <w:r w:rsidR="003E3DAE">
              <w:rPr>
                <w:rFonts w:ascii="Times New Roman" w:hAnsi="Times New Roman"/>
                <w:i/>
                <w:szCs w:val="24"/>
              </w:rPr>
              <w:t>00</w:t>
            </w:r>
            <w:r w:rsidR="00250DD9" w:rsidRPr="00344878">
              <w:rPr>
                <w:rFonts w:ascii="Times New Roman" w:hAnsi="Times New Roman"/>
                <w:i/>
                <w:szCs w:val="24"/>
              </w:rPr>
              <w:t xml:space="preserve"> </w:t>
            </w:r>
            <w:r w:rsidRPr="00344878">
              <w:rPr>
                <w:rFonts w:ascii="Times New Roman" w:hAnsi="Times New Roman"/>
                <w:i/>
                <w:szCs w:val="24"/>
              </w:rPr>
              <w:t xml:space="preserve">- $21,000 ordinary income - $30,000 25% capital gain - $3,000 28% capital gain) of </w:t>
            </w:r>
            <w:r w:rsidR="00801F2C">
              <w:rPr>
                <w:rFonts w:ascii="Times New Roman" w:hAnsi="Times New Roman"/>
                <w:i/>
                <w:szCs w:val="24"/>
              </w:rPr>
              <w:t>0/</w:t>
            </w:r>
            <w:r w:rsidRPr="00344878">
              <w:rPr>
                <w:rFonts w:ascii="Times New Roman" w:hAnsi="Times New Roman"/>
                <w:i/>
                <w:szCs w:val="24"/>
              </w:rPr>
              <w:t>15</w:t>
            </w:r>
            <w:r w:rsidR="00801F2C">
              <w:rPr>
                <w:rFonts w:ascii="Times New Roman" w:hAnsi="Times New Roman"/>
                <w:i/>
                <w:szCs w:val="24"/>
              </w:rPr>
              <w:t>/20</w:t>
            </w:r>
            <w:r w:rsidRPr="00344878">
              <w:rPr>
                <w:rFonts w:ascii="Times New Roman" w:hAnsi="Times New Roman"/>
                <w:i/>
                <w:szCs w:val="24"/>
              </w:rPr>
              <w:t xml:space="preserve">% rate capital gain fits into the remaining </w:t>
            </w:r>
            <w:r w:rsidR="00B55459">
              <w:rPr>
                <w:rFonts w:ascii="Times New Roman" w:hAnsi="Times New Roman"/>
                <w:i/>
                <w:szCs w:val="24"/>
              </w:rPr>
              <w:t>space below the maximum zero rate amount ($77,200),</w:t>
            </w:r>
            <w:r w:rsidR="00B55459" w:rsidRPr="00344878" w:rsidDel="00B55459">
              <w:rPr>
                <w:rFonts w:ascii="Times New Roman" w:hAnsi="Times New Roman"/>
                <w:i/>
                <w:szCs w:val="24"/>
              </w:rPr>
              <w:t xml:space="preserve"> </w:t>
            </w:r>
            <w:r w:rsidRPr="00344878">
              <w:rPr>
                <w:rFonts w:ascii="Times New Roman" w:hAnsi="Times New Roman"/>
                <w:i/>
                <w:szCs w:val="24"/>
              </w:rPr>
              <w:t>so it is taxed at 0%.</w:t>
            </w:r>
          </w:p>
        </w:tc>
      </w:tr>
      <w:tr w:rsidR="00A62E01" w:rsidRPr="00344878" w14:paraId="3AFA6B6E" w14:textId="77777777" w:rsidTr="00724467">
        <w:trPr>
          <w:jc w:val="center"/>
        </w:trPr>
        <w:tc>
          <w:tcPr>
            <w:tcW w:w="0" w:type="auto"/>
          </w:tcPr>
          <w:p w14:paraId="7F682BDC" w14:textId="6BF714EF" w:rsidR="00745022" w:rsidRPr="00344878" w:rsidRDefault="00745022" w:rsidP="003E3DAE">
            <w:pPr>
              <w:pStyle w:val="HangingIndent3"/>
              <w:spacing w:after="0"/>
              <w:ind w:left="0" w:firstLine="0"/>
              <w:rPr>
                <w:rFonts w:ascii="Times New Roman" w:hAnsi="Times New Roman"/>
                <w:i/>
                <w:szCs w:val="24"/>
              </w:rPr>
            </w:pPr>
            <w:r w:rsidRPr="00344878">
              <w:rPr>
                <w:rFonts w:ascii="Times New Roman" w:hAnsi="Times New Roman"/>
                <w:i/>
                <w:szCs w:val="24"/>
              </w:rPr>
              <w:t>$</w:t>
            </w:r>
            <w:r w:rsidR="003E3DAE">
              <w:rPr>
                <w:rFonts w:ascii="Times New Roman" w:hAnsi="Times New Roman"/>
                <w:i/>
                <w:szCs w:val="24"/>
              </w:rPr>
              <w:t>154,</w:t>
            </w:r>
            <w:r w:rsidR="00B55459">
              <w:rPr>
                <w:rFonts w:ascii="Times New Roman" w:hAnsi="Times New Roman"/>
                <w:i/>
                <w:szCs w:val="24"/>
              </w:rPr>
              <w:t>8</w:t>
            </w:r>
            <w:r w:rsidR="003E3DAE">
              <w:rPr>
                <w:rFonts w:ascii="Times New Roman" w:hAnsi="Times New Roman"/>
                <w:i/>
                <w:szCs w:val="24"/>
              </w:rPr>
              <w:t>00; 0/15/20</w:t>
            </w:r>
            <w:r w:rsidR="003E3DAE" w:rsidRPr="00344878">
              <w:rPr>
                <w:rFonts w:ascii="Times New Roman" w:hAnsi="Times New Roman"/>
                <w:i/>
                <w:szCs w:val="24"/>
              </w:rPr>
              <w:t>% rate capital gains</w:t>
            </w:r>
          </w:p>
        </w:tc>
        <w:tc>
          <w:tcPr>
            <w:tcW w:w="0" w:type="auto"/>
          </w:tcPr>
          <w:p w14:paraId="5A679A7F" w14:textId="77777777" w:rsidR="00745022" w:rsidRPr="00344878" w:rsidRDefault="00745022" w:rsidP="000A6D89">
            <w:pPr>
              <w:pStyle w:val="HangingIndent3"/>
              <w:spacing w:after="0"/>
              <w:ind w:left="0" w:firstLine="0"/>
              <w:jc w:val="center"/>
              <w:rPr>
                <w:rFonts w:ascii="Times New Roman" w:hAnsi="Times New Roman"/>
                <w:i/>
                <w:szCs w:val="24"/>
              </w:rPr>
            </w:pPr>
            <w:r w:rsidRPr="00344878">
              <w:rPr>
                <w:rFonts w:ascii="Times New Roman" w:hAnsi="Times New Roman"/>
                <w:i/>
                <w:szCs w:val="24"/>
              </w:rPr>
              <w:t>15%</w:t>
            </w:r>
          </w:p>
        </w:tc>
        <w:tc>
          <w:tcPr>
            <w:tcW w:w="0" w:type="auto"/>
          </w:tcPr>
          <w:p w14:paraId="539ED27A" w14:textId="00EAFFC0" w:rsidR="00745022" w:rsidRPr="00344878" w:rsidRDefault="00745022">
            <w:pPr>
              <w:pStyle w:val="HangingIndent3"/>
              <w:spacing w:after="0"/>
              <w:ind w:left="0" w:firstLine="0"/>
              <w:jc w:val="right"/>
              <w:rPr>
                <w:rFonts w:ascii="Times New Roman" w:hAnsi="Times New Roman"/>
                <w:i/>
                <w:szCs w:val="24"/>
                <w:u w:val="single"/>
              </w:rPr>
            </w:pPr>
            <w:r w:rsidRPr="00344878">
              <w:rPr>
                <w:rFonts w:ascii="Times New Roman" w:hAnsi="Times New Roman"/>
                <w:i/>
                <w:szCs w:val="24"/>
                <w:u w:val="single"/>
              </w:rPr>
              <w:t>$</w:t>
            </w:r>
            <w:r w:rsidR="003E3DAE">
              <w:rPr>
                <w:rFonts w:ascii="Times New Roman" w:hAnsi="Times New Roman"/>
                <w:i/>
                <w:szCs w:val="24"/>
                <w:u w:val="single"/>
              </w:rPr>
              <w:t>23,</w:t>
            </w:r>
            <w:r w:rsidR="00A62E01">
              <w:rPr>
                <w:rFonts w:ascii="Times New Roman" w:hAnsi="Times New Roman"/>
                <w:i/>
                <w:szCs w:val="24"/>
                <w:u w:val="single"/>
              </w:rPr>
              <w:t>220</w:t>
            </w:r>
          </w:p>
        </w:tc>
        <w:tc>
          <w:tcPr>
            <w:tcW w:w="0" w:type="auto"/>
          </w:tcPr>
          <w:p w14:paraId="0EFD7215" w14:textId="52622404" w:rsidR="00745022" w:rsidRPr="00344878" w:rsidRDefault="00745022" w:rsidP="000A6D89">
            <w:pPr>
              <w:pStyle w:val="HangingIndent3"/>
              <w:spacing w:after="60"/>
              <w:ind w:left="0" w:firstLine="0"/>
              <w:rPr>
                <w:rFonts w:ascii="Times New Roman" w:hAnsi="Times New Roman"/>
                <w:i/>
                <w:szCs w:val="24"/>
              </w:rPr>
            </w:pPr>
            <w:r w:rsidRPr="00344878">
              <w:rPr>
                <w:rFonts w:ascii="Times New Roman" w:hAnsi="Times New Roman"/>
                <w:i/>
                <w:szCs w:val="24"/>
              </w:rPr>
              <w:t>$</w:t>
            </w:r>
            <w:r w:rsidR="003E3DAE">
              <w:rPr>
                <w:rFonts w:ascii="Times New Roman" w:hAnsi="Times New Roman"/>
                <w:i/>
                <w:szCs w:val="24"/>
              </w:rPr>
              <w:t>154,</w:t>
            </w:r>
            <w:r w:rsidR="00B55459">
              <w:rPr>
                <w:rFonts w:ascii="Times New Roman" w:hAnsi="Times New Roman"/>
                <w:i/>
                <w:szCs w:val="24"/>
              </w:rPr>
              <w:t>8</w:t>
            </w:r>
            <w:r w:rsidR="003E3DAE">
              <w:rPr>
                <w:rFonts w:ascii="Times New Roman" w:hAnsi="Times New Roman"/>
                <w:i/>
                <w:szCs w:val="24"/>
              </w:rPr>
              <w:t>00</w:t>
            </w:r>
            <w:r w:rsidR="00250DD9">
              <w:rPr>
                <w:rFonts w:ascii="Times New Roman" w:hAnsi="Times New Roman"/>
                <w:i/>
                <w:szCs w:val="24"/>
              </w:rPr>
              <w:t xml:space="preserve"> </w:t>
            </w:r>
            <w:r w:rsidR="00007FF9">
              <w:rPr>
                <w:rFonts w:ascii="Times New Roman" w:hAnsi="Times New Roman"/>
                <w:i/>
                <w:szCs w:val="24"/>
              </w:rPr>
              <w:t>×</w:t>
            </w:r>
            <w:r w:rsidR="00007FF9" w:rsidRPr="00344878">
              <w:rPr>
                <w:rFonts w:ascii="Times New Roman" w:hAnsi="Times New Roman"/>
                <w:i/>
                <w:szCs w:val="24"/>
              </w:rPr>
              <w:t xml:space="preserve"> </w:t>
            </w:r>
            <w:r w:rsidRPr="00344878">
              <w:rPr>
                <w:rFonts w:ascii="Times New Roman" w:hAnsi="Times New Roman"/>
                <w:i/>
                <w:szCs w:val="24"/>
              </w:rPr>
              <w:t>15%</w:t>
            </w:r>
          </w:p>
          <w:p w14:paraId="2C0E485A" w14:textId="7EC15AF1" w:rsidR="00745022" w:rsidRPr="00344878" w:rsidRDefault="00745022">
            <w:pPr>
              <w:pStyle w:val="HangingIndent3"/>
              <w:spacing w:after="60"/>
              <w:ind w:left="0" w:firstLine="0"/>
              <w:rPr>
                <w:rFonts w:ascii="Times New Roman" w:hAnsi="Times New Roman"/>
                <w:i/>
                <w:szCs w:val="24"/>
              </w:rPr>
            </w:pPr>
            <w:r w:rsidRPr="00344878">
              <w:rPr>
                <w:rFonts w:ascii="Times New Roman" w:hAnsi="Times New Roman"/>
                <w:i/>
                <w:szCs w:val="24"/>
              </w:rPr>
              <w:t>All of the remaining $</w:t>
            </w:r>
            <w:r w:rsidR="003E3DAE">
              <w:rPr>
                <w:rFonts w:ascii="Times New Roman" w:hAnsi="Times New Roman"/>
                <w:i/>
                <w:szCs w:val="24"/>
              </w:rPr>
              <w:t>154,</w:t>
            </w:r>
            <w:r w:rsidR="00A62E01">
              <w:rPr>
                <w:rFonts w:ascii="Times New Roman" w:hAnsi="Times New Roman"/>
                <w:i/>
                <w:szCs w:val="24"/>
              </w:rPr>
              <w:t>8</w:t>
            </w:r>
            <w:r w:rsidR="003E3DAE">
              <w:rPr>
                <w:rFonts w:ascii="Times New Roman" w:hAnsi="Times New Roman"/>
                <w:i/>
                <w:szCs w:val="24"/>
              </w:rPr>
              <w:t>00</w:t>
            </w:r>
            <w:r w:rsidR="00250DD9" w:rsidRPr="00344878">
              <w:rPr>
                <w:rFonts w:ascii="Times New Roman" w:hAnsi="Times New Roman"/>
                <w:i/>
                <w:szCs w:val="24"/>
              </w:rPr>
              <w:t xml:space="preserve"> </w:t>
            </w:r>
            <w:r w:rsidRPr="00344878">
              <w:rPr>
                <w:rFonts w:ascii="Times New Roman" w:hAnsi="Times New Roman"/>
                <w:i/>
                <w:szCs w:val="24"/>
              </w:rPr>
              <w:t>($178,000 - $</w:t>
            </w:r>
            <w:r w:rsidR="003E3DAE">
              <w:rPr>
                <w:rFonts w:ascii="Times New Roman" w:hAnsi="Times New Roman"/>
                <w:i/>
                <w:szCs w:val="24"/>
              </w:rPr>
              <w:t>23,</w:t>
            </w:r>
            <w:r w:rsidR="00B55459">
              <w:rPr>
                <w:rFonts w:ascii="Times New Roman" w:hAnsi="Times New Roman"/>
                <w:i/>
                <w:szCs w:val="24"/>
              </w:rPr>
              <w:t>2</w:t>
            </w:r>
            <w:r w:rsidR="003E3DAE">
              <w:rPr>
                <w:rFonts w:ascii="Times New Roman" w:hAnsi="Times New Roman"/>
                <w:i/>
                <w:szCs w:val="24"/>
              </w:rPr>
              <w:t>00</w:t>
            </w:r>
            <w:r w:rsidRPr="00344878">
              <w:rPr>
                <w:rFonts w:ascii="Times New Roman" w:hAnsi="Times New Roman"/>
                <w:i/>
                <w:szCs w:val="24"/>
              </w:rPr>
              <w:t xml:space="preserve">) of </w:t>
            </w:r>
            <w:r w:rsidR="00801F2C">
              <w:rPr>
                <w:rFonts w:ascii="Times New Roman" w:hAnsi="Times New Roman"/>
                <w:i/>
                <w:szCs w:val="24"/>
              </w:rPr>
              <w:t>0/</w:t>
            </w:r>
            <w:r w:rsidRPr="00344878">
              <w:rPr>
                <w:rFonts w:ascii="Times New Roman" w:hAnsi="Times New Roman"/>
                <w:i/>
                <w:szCs w:val="24"/>
              </w:rPr>
              <w:t>15</w:t>
            </w:r>
            <w:r w:rsidR="00801F2C">
              <w:rPr>
                <w:rFonts w:ascii="Times New Roman" w:hAnsi="Times New Roman"/>
                <w:i/>
                <w:szCs w:val="24"/>
              </w:rPr>
              <w:t>/20</w:t>
            </w:r>
            <w:r w:rsidRPr="00344878">
              <w:rPr>
                <w:rFonts w:ascii="Times New Roman" w:hAnsi="Times New Roman"/>
                <w:i/>
                <w:szCs w:val="24"/>
              </w:rPr>
              <w:t>% capital gain is taxed at 15%</w:t>
            </w:r>
            <w:r w:rsidR="00A62E01">
              <w:rPr>
                <w:rFonts w:ascii="Times New Roman" w:hAnsi="Times New Roman"/>
                <w:i/>
                <w:szCs w:val="24"/>
              </w:rPr>
              <w:t xml:space="preserve"> because Ron and Anne’s taxable income (including the gains) is above the maximum zero rate amount ($77,200) and the maximum 15-percent rate amount ($479,000).</w:t>
            </w:r>
          </w:p>
        </w:tc>
      </w:tr>
      <w:tr w:rsidR="00A62E01" w:rsidRPr="000A6D89" w14:paraId="187110B2" w14:textId="77777777" w:rsidTr="00724467">
        <w:trPr>
          <w:jc w:val="center"/>
        </w:trPr>
        <w:tc>
          <w:tcPr>
            <w:tcW w:w="0" w:type="auto"/>
          </w:tcPr>
          <w:p w14:paraId="33F8206C" w14:textId="77777777" w:rsidR="00745022" w:rsidRPr="00344878" w:rsidRDefault="00745022" w:rsidP="000A6D89">
            <w:pPr>
              <w:pStyle w:val="HangingIndent3"/>
              <w:spacing w:after="0"/>
              <w:ind w:left="0" w:firstLine="0"/>
              <w:rPr>
                <w:rFonts w:ascii="Times New Roman" w:hAnsi="Times New Roman"/>
                <w:b/>
                <w:i/>
                <w:szCs w:val="24"/>
              </w:rPr>
            </w:pPr>
            <w:r w:rsidRPr="00344878">
              <w:rPr>
                <w:rFonts w:ascii="Times New Roman" w:hAnsi="Times New Roman"/>
                <w:b/>
                <w:i/>
                <w:szCs w:val="24"/>
              </w:rPr>
              <w:t>Gross tax liability</w:t>
            </w:r>
          </w:p>
        </w:tc>
        <w:tc>
          <w:tcPr>
            <w:tcW w:w="0" w:type="auto"/>
          </w:tcPr>
          <w:p w14:paraId="51009152" w14:textId="77777777" w:rsidR="00745022" w:rsidRPr="00344878" w:rsidRDefault="00745022" w:rsidP="000A6D89">
            <w:pPr>
              <w:pStyle w:val="HangingIndent3"/>
              <w:spacing w:after="0"/>
              <w:ind w:left="0" w:firstLine="0"/>
              <w:jc w:val="center"/>
              <w:rPr>
                <w:rFonts w:ascii="Times New Roman" w:hAnsi="Times New Roman"/>
                <w:b/>
                <w:i/>
                <w:szCs w:val="24"/>
              </w:rPr>
            </w:pPr>
          </w:p>
        </w:tc>
        <w:tc>
          <w:tcPr>
            <w:tcW w:w="0" w:type="auto"/>
          </w:tcPr>
          <w:p w14:paraId="1DD3D893" w14:textId="3177121A" w:rsidR="00745022" w:rsidRPr="000A6D89" w:rsidRDefault="00745022">
            <w:pPr>
              <w:pStyle w:val="HangingIndent3"/>
              <w:spacing w:after="0"/>
              <w:ind w:left="0" w:firstLine="0"/>
              <w:jc w:val="right"/>
              <w:rPr>
                <w:rFonts w:ascii="Times New Roman" w:hAnsi="Times New Roman"/>
                <w:b/>
                <w:i/>
                <w:szCs w:val="24"/>
              </w:rPr>
            </w:pPr>
            <w:r w:rsidRPr="00344878">
              <w:rPr>
                <w:rFonts w:ascii="Times New Roman" w:hAnsi="Times New Roman"/>
                <w:b/>
                <w:i/>
                <w:szCs w:val="24"/>
              </w:rPr>
              <w:t>$</w:t>
            </w:r>
            <w:r w:rsidR="00A62E01">
              <w:rPr>
                <w:rFonts w:ascii="Times New Roman" w:hAnsi="Times New Roman"/>
                <w:b/>
                <w:i/>
                <w:szCs w:val="24"/>
              </w:rPr>
              <w:t>29,319</w:t>
            </w:r>
          </w:p>
        </w:tc>
        <w:tc>
          <w:tcPr>
            <w:tcW w:w="0" w:type="auto"/>
          </w:tcPr>
          <w:p w14:paraId="63283473" w14:textId="77777777" w:rsidR="00745022" w:rsidRPr="000A6D89" w:rsidRDefault="00745022" w:rsidP="000A6D89">
            <w:pPr>
              <w:pStyle w:val="HangingIndent3"/>
              <w:spacing w:after="0"/>
              <w:ind w:left="0" w:firstLine="0"/>
              <w:jc w:val="right"/>
              <w:rPr>
                <w:rFonts w:ascii="Times New Roman" w:hAnsi="Times New Roman"/>
                <w:i/>
                <w:szCs w:val="24"/>
              </w:rPr>
            </w:pPr>
          </w:p>
        </w:tc>
      </w:tr>
    </w:tbl>
    <w:p w14:paraId="449A4C3D" w14:textId="77777777" w:rsidR="00745022" w:rsidRDefault="00745022" w:rsidP="00747FE5">
      <w:pPr>
        <w:pStyle w:val="HangingIndent3"/>
        <w:spacing w:after="0" w:line="360" w:lineRule="auto"/>
        <w:ind w:left="0" w:firstLine="0"/>
        <w:rPr>
          <w:rFonts w:ascii="Times New Roman" w:hAnsi="Times New Roman"/>
          <w:i/>
          <w:szCs w:val="24"/>
        </w:rPr>
      </w:pPr>
    </w:p>
    <w:p w14:paraId="6E6B9640" w14:textId="77777777" w:rsidR="00745022" w:rsidRDefault="00724467" w:rsidP="00C04668">
      <w:pPr>
        <w:pStyle w:val="HangingIndent3"/>
        <w:spacing w:after="0"/>
        <w:ind w:left="720" w:hanging="360"/>
        <w:rPr>
          <w:rFonts w:ascii="Times New Roman" w:hAnsi="Times New Roman"/>
          <w:szCs w:val="24"/>
        </w:rPr>
      </w:pPr>
      <w:r w:rsidRPr="00724467">
        <w:rPr>
          <w:rFonts w:ascii="Times New Roman" w:hAnsi="Times New Roman"/>
          <w:i/>
          <w:szCs w:val="24"/>
        </w:rPr>
        <w:t>b.</w:t>
      </w:r>
      <w:r w:rsidRPr="00724467">
        <w:rPr>
          <w:rFonts w:ascii="Times New Roman" w:hAnsi="Times New Roman"/>
          <w:i/>
          <w:szCs w:val="24"/>
        </w:rPr>
        <w:tab/>
      </w:r>
      <w:r w:rsidR="00745022" w:rsidRPr="00724467">
        <w:rPr>
          <w:rFonts w:ascii="Times New Roman" w:hAnsi="Times New Roman"/>
          <w:i/>
          <w:szCs w:val="24"/>
        </w:rPr>
        <w:t>The netting process used to determine Ron and Anne’s gross tax liability</w:t>
      </w:r>
      <w:r w:rsidR="00745022" w:rsidRPr="00C80019">
        <w:rPr>
          <w:rFonts w:ascii="Times New Roman" w:hAnsi="Times New Roman"/>
          <w:i/>
          <w:szCs w:val="24"/>
        </w:rPr>
        <w:t xml:space="preserve"> for the year is unchanged from the process used in part a.</w:t>
      </w:r>
    </w:p>
    <w:p w14:paraId="30700A24" w14:textId="150FA05A" w:rsidR="00745022" w:rsidRPr="00724467" w:rsidRDefault="00745022" w:rsidP="0089787C">
      <w:pPr>
        <w:pStyle w:val="HangingIndent3"/>
        <w:spacing w:before="120" w:after="0"/>
        <w:ind w:left="720" w:firstLine="0"/>
        <w:rPr>
          <w:rFonts w:ascii="Times New Roman" w:hAnsi="Times New Roman"/>
          <w:i/>
          <w:szCs w:val="24"/>
        </w:rPr>
      </w:pPr>
      <w:r>
        <w:rPr>
          <w:rFonts w:ascii="Times New Roman" w:hAnsi="Times New Roman"/>
          <w:i/>
          <w:szCs w:val="24"/>
        </w:rPr>
        <w:t>Ron and Anne’s ordinary income will increase from $</w:t>
      </w:r>
      <w:r w:rsidR="00CF531D">
        <w:rPr>
          <w:rFonts w:ascii="Times New Roman" w:hAnsi="Times New Roman"/>
          <w:i/>
          <w:szCs w:val="24"/>
        </w:rPr>
        <w:t>400</w:t>
      </w:r>
      <w:r>
        <w:rPr>
          <w:rFonts w:ascii="Times New Roman" w:hAnsi="Times New Roman"/>
          <w:i/>
          <w:szCs w:val="24"/>
        </w:rPr>
        <w:t>,000 to $</w:t>
      </w:r>
      <w:r w:rsidR="00CF531D">
        <w:rPr>
          <w:rFonts w:ascii="Times New Roman" w:hAnsi="Times New Roman"/>
          <w:i/>
          <w:szCs w:val="24"/>
        </w:rPr>
        <w:t>401</w:t>
      </w:r>
      <w:r>
        <w:rPr>
          <w:rFonts w:ascii="Times New Roman" w:hAnsi="Times New Roman"/>
          <w:i/>
          <w:szCs w:val="24"/>
        </w:rPr>
        <w:t>,000 due to their $1,000 net short-term capital gain</w:t>
      </w:r>
      <w:r w:rsidR="000C1A4C">
        <w:rPr>
          <w:rFonts w:ascii="Times New Roman" w:hAnsi="Times New Roman"/>
          <w:i/>
          <w:szCs w:val="24"/>
        </w:rPr>
        <w:t xml:space="preserve">. </w:t>
      </w:r>
      <w:r>
        <w:rPr>
          <w:rFonts w:ascii="Times New Roman" w:hAnsi="Times New Roman"/>
          <w:i/>
          <w:szCs w:val="24"/>
        </w:rPr>
        <w:t xml:space="preserve">Ron and Anne’s gross tax liability of </w:t>
      </w:r>
      <w:r w:rsidRPr="001336D0">
        <w:rPr>
          <w:rFonts w:ascii="Times New Roman" w:hAnsi="Times New Roman"/>
          <w:i/>
          <w:szCs w:val="24"/>
        </w:rPr>
        <w:t>$</w:t>
      </w:r>
      <w:r w:rsidR="001B7DB9">
        <w:rPr>
          <w:rFonts w:ascii="Times New Roman" w:hAnsi="Times New Roman"/>
          <w:i/>
          <w:szCs w:val="24"/>
        </w:rPr>
        <w:t>13</w:t>
      </w:r>
      <w:r w:rsidR="0045594E">
        <w:rPr>
          <w:rFonts w:ascii="Times New Roman" w:hAnsi="Times New Roman"/>
          <w:i/>
          <w:szCs w:val="24"/>
        </w:rPr>
        <w:t>1</w:t>
      </w:r>
      <w:r w:rsidR="001B7DB9">
        <w:rPr>
          <w:rFonts w:ascii="Times New Roman" w:hAnsi="Times New Roman"/>
          <w:i/>
          <w:szCs w:val="24"/>
        </w:rPr>
        <w:t>,</w:t>
      </w:r>
      <w:r w:rsidR="0045594E">
        <w:rPr>
          <w:rFonts w:ascii="Times New Roman" w:hAnsi="Times New Roman"/>
          <w:i/>
          <w:szCs w:val="24"/>
        </w:rPr>
        <w:t>76</w:t>
      </w:r>
      <w:r w:rsidR="001B7DB9">
        <w:rPr>
          <w:rFonts w:ascii="Times New Roman" w:hAnsi="Times New Roman"/>
          <w:i/>
          <w:szCs w:val="24"/>
        </w:rPr>
        <w:t>9</w:t>
      </w:r>
      <w:r w:rsidR="00E53FC6">
        <w:rPr>
          <w:rFonts w:ascii="Times New Roman" w:hAnsi="Times New Roman"/>
          <w:i/>
          <w:szCs w:val="24"/>
        </w:rPr>
        <w:t xml:space="preserve"> </w:t>
      </w:r>
      <w:r w:rsidRPr="001336D0">
        <w:rPr>
          <w:rFonts w:ascii="Times New Roman" w:hAnsi="Times New Roman"/>
          <w:i/>
          <w:szCs w:val="24"/>
        </w:rPr>
        <w:t>is computed as follows</w:t>
      </w:r>
      <w:r w:rsidRPr="00724467">
        <w:rPr>
          <w:rFonts w:ascii="Times New Roman" w:hAnsi="Times New Roman"/>
          <w:i/>
          <w:szCs w:val="24"/>
        </w:rPr>
        <w:t>:</w:t>
      </w:r>
    </w:p>
    <w:p w14:paraId="5541C857" w14:textId="77777777" w:rsidR="00745022" w:rsidRPr="00724467" w:rsidRDefault="00745022" w:rsidP="00C80019">
      <w:pPr>
        <w:pStyle w:val="HangingIndent3"/>
        <w:spacing w:after="0"/>
        <w:ind w:left="720" w:hanging="360"/>
        <w:rPr>
          <w:rFonts w:ascii="Times New Roman" w:hAnsi="Times New Roman"/>
          <w:i/>
          <w:szCs w:val="24"/>
        </w:rPr>
      </w:pPr>
      <w:r w:rsidRPr="00724467">
        <w:rPr>
          <w:rFonts w:ascii="Times New Roman" w:hAnsi="Times New Roman"/>
          <w:i/>
          <w:szCs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1270"/>
        <w:gridCol w:w="2256"/>
        <w:gridCol w:w="2956"/>
      </w:tblGrid>
      <w:tr w:rsidR="00130F40" w:rsidRPr="00724467" w14:paraId="16D8FD40" w14:textId="77777777" w:rsidTr="00724467">
        <w:trPr>
          <w:jc w:val="center"/>
        </w:trPr>
        <w:tc>
          <w:tcPr>
            <w:tcW w:w="0" w:type="auto"/>
          </w:tcPr>
          <w:p w14:paraId="57AF9376" w14:textId="77777777" w:rsidR="00745022" w:rsidRPr="003E3DAE" w:rsidRDefault="00745022" w:rsidP="000A6D89">
            <w:pPr>
              <w:pStyle w:val="HangingIndent3"/>
              <w:spacing w:after="0"/>
              <w:ind w:left="0" w:firstLine="0"/>
              <w:jc w:val="center"/>
              <w:rPr>
                <w:rFonts w:ascii="Times New Roman" w:hAnsi="Times New Roman"/>
                <w:b/>
                <w:i/>
                <w:szCs w:val="24"/>
              </w:rPr>
            </w:pPr>
            <w:r w:rsidRPr="003E3DAE">
              <w:rPr>
                <w:rFonts w:ascii="Times New Roman" w:hAnsi="Times New Roman"/>
                <w:b/>
                <w:i/>
                <w:szCs w:val="24"/>
              </w:rPr>
              <w:t xml:space="preserve">Amount and </w:t>
            </w:r>
          </w:p>
          <w:p w14:paraId="05B8F840" w14:textId="77777777" w:rsidR="00745022" w:rsidRPr="003E3DAE" w:rsidRDefault="00745022" w:rsidP="000A6D89">
            <w:pPr>
              <w:pStyle w:val="HangingIndent3"/>
              <w:spacing w:after="0"/>
              <w:ind w:left="0" w:firstLine="0"/>
              <w:jc w:val="center"/>
              <w:rPr>
                <w:rFonts w:ascii="Times New Roman" w:hAnsi="Times New Roman"/>
                <w:b/>
                <w:i/>
                <w:szCs w:val="24"/>
              </w:rPr>
            </w:pPr>
            <w:r w:rsidRPr="003E3DAE">
              <w:rPr>
                <w:rFonts w:ascii="Times New Roman" w:hAnsi="Times New Roman"/>
                <w:b/>
                <w:i/>
                <w:szCs w:val="24"/>
              </w:rPr>
              <w:t>Type of Income</w:t>
            </w:r>
          </w:p>
        </w:tc>
        <w:tc>
          <w:tcPr>
            <w:tcW w:w="0" w:type="auto"/>
          </w:tcPr>
          <w:p w14:paraId="241875AF" w14:textId="77777777" w:rsidR="00745022" w:rsidRPr="003E3DAE" w:rsidRDefault="00745022" w:rsidP="000A6D89">
            <w:pPr>
              <w:pStyle w:val="HangingIndent3"/>
              <w:spacing w:after="0"/>
              <w:ind w:left="0" w:firstLine="0"/>
              <w:jc w:val="center"/>
              <w:rPr>
                <w:rFonts w:ascii="Times New Roman" w:hAnsi="Times New Roman"/>
                <w:b/>
                <w:i/>
                <w:szCs w:val="24"/>
              </w:rPr>
            </w:pPr>
            <w:r w:rsidRPr="003E3DAE">
              <w:rPr>
                <w:rFonts w:ascii="Times New Roman" w:hAnsi="Times New Roman"/>
                <w:b/>
                <w:i/>
                <w:szCs w:val="24"/>
              </w:rPr>
              <w:t xml:space="preserve">Applicable </w:t>
            </w:r>
          </w:p>
          <w:p w14:paraId="59678A85" w14:textId="77777777" w:rsidR="00745022" w:rsidRPr="003E3DAE" w:rsidRDefault="00745022" w:rsidP="000A6D89">
            <w:pPr>
              <w:pStyle w:val="HangingIndent3"/>
              <w:spacing w:after="0"/>
              <w:ind w:left="0" w:firstLine="0"/>
              <w:jc w:val="center"/>
              <w:rPr>
                <w:rFonts w:ascii="Times New Roman" w:hAnsi="Times New Roman"/>
                <w:b/>
                <w:i/>
                <w:szCs w:val="24"/>
              </w:rPr>
            </w:pPr>
            <w:r w:rsidRPr="003E3DAE">
              <w:rPr>
                <w:rFonts w:ascii="Times New Roman" w:hAnsi="Times New Roman"/>
                <w:b/>
                <w:i/>
                <w:szCs w:val="24"/>
              </w:rPr>
              <w:t>Rate</w:t>
            </w:r>
          </w:p>
        </w:tc>
        <w:tc>
          <w:tcPr>
            <w:tcW w:w="0" w:type="auto"/>
          </w:tcPr>
          <w:p w14:paraId="743A093F" w14:textId="77777777" w:rsidR="00745022" w:rsidRPr="003E3DAE" w:rsidRDefault="00745022" w:rsidP="000A6D89">
            <w:pPr>
              <w:pStyle w:val="HangingIndent3"/>
              <w:spacing w:after="0"/>
              <w:ind w:left="0" w:firstLine="0"/>
              <w:jc w:val="center"/>
              <w:rPr>
                <w:rFonts w:ascii="Times New Roman" w:hAnsi="Times New Roman"/>
                <w:b/>
                <w:i/>
                <w:szCs w:val="24"/>
              </w:rPr>
            </w:pPr>
          </w:p>
          <w:p w14:paraId="7181BC88" w14:textId="77777777" w:rsidR="00745022" w:rsidRPr="003E3DAE" w:rsidRDefault="00745022" w:rsidP="000A6D89">
            <w:pPr>
              <w:pStyle w:val="HangingIndent3"/>
              <w:spacing w:after="0"/>
              <w:ind w:left="0" w:firstLine="0"/>
              <w:jc w:val="center"/>
              <w:rPr>
                <w:rFonts w:ascii="Times New Roman" w:hAnsi="Times New Roman"/>
                <w:b/>
                <w:i/>
                <w:szCs w:val="24"/>
              </w:rPr>
            </w:pPr>
            <w:r w:rsidRPr="003E3DAE">
              <w:rPr>
                <w:rFonts w:ascii="Times New Roman" w:hAnsi="Times New Roman"/>
                <w:b/>
                <w:i/>
                <w:szCs w:val="24"/>
              </w:rPr>
              <w:t>Tax</w:t>
            </w:r>
          </w:p>
        </w:tc>
        <w:tc>
          <w:tcPr>
            <w:tcW w:w="0" w:type="auto"/>
          </w:tcPr>
          <w:p w14:paraId="192A96FC" w14:textId="77777777" w:rsidR="00745022" w:rsidRPr="003E3DAE" w:rsidRDefault="00745022" w:rsidP="000A6D89">
            <w:pPr>
              <w:pStyle w:val="HangingIndent3"/>
              <w:spacing w:after="0"/>
              <w:ind w:left="0" w:firstLine="0"/>
              <w:jc w:val="center"/>
              <w:rPr>
                <w:rFonts w:ascii="Times New Roman" w:hAnsi="Times New Roman"/>
                <w:b/>
                <w:i/>
                <w:szCs w:val="24"/>
              </w:rPr>
            </w:pPr>
          </w:p>
          <w:p w14:paraId="11EEF27A" w14:textId="77777777" w:rsidR="00745022" w:rsidRPr="00724467" w:rsidRDefault="00745022" w:rsidP="000A6D89">
            <w:pPr>
              <w:pStyle w:val="HangingIndent3"/>
              <w:spacing w:after="0"/>
              <w:ind w:left="0" w:firstLine="0"/>
              <w:jc w:val="center"/>
              <w:rPr>
                <w:rFonts w:ascii="Times New Roman" w:hAnsi="Times New Roman"/>
                <w:b/>
                <w:i/>
                <w:szCs w:val="24"/>
              </w:rPr>
            </w:pPr>
            <w:r w:rsidRPr="003E3DAE">
              <w:rPr>
                <w:rFonts w:ascii="Times New Roman" w:hAnsi="Times New Roman"/>
                <w:b/>
                <w:i/>
                <w:szCs w:val="24"/>
              </w:rPr>
              <w:t>Explanation</w:t>
            </w:r>
          </w:p>
        </w:tc>
      </w:tr>
      <w:tr w:rsidR="00130F40" w:rsidRPr="00724467" w14:paraId="11122984" w14:textId="77777777" w:rsidTr="00724467">
        <w:trPr>
          <w:jc w:val="center"/>
        </w:trPr>
        <w:tc>
          <w:tcPr>
            <w:tcW w:w="0" w:type="auto"/>
          </w:tcPr>
          <w:p w14:paraId="1D784C4E" w14:textId="2F4DED79" w:rsidR="00745022" w:rsidRPr="00724467" w:rsidRDefault="00745022" w:rsidP="003E3DAE">
            <w:pPr>
              <w:pStyle w:val="HangingIndent3"/>
              <w:spacing w:after="0"/>
              <w:ind w:left="0" w:firstLine="0"/>
              <w:rPr>
                <w:rFonts w:ascii="Times New Roman" w:hAnsi="Times New Roman"/>
                <w:i/>
                <w:szCs w:val="24"/>
              </w:rPr>
            </w:pPr>
            <w:r w:rsidRPr="00724467">
              <w:rPr>
                <w:rFonts w:ascii="Times New Roman" w:hAnsi="Times New Roman"/>
                <w:i/>
                <w:szCs w:val="24"/>
              </w:rPr>
              <w:t>$</w:t>
            </w:r>
            <w:r w:rsidR="003E3DAE">
              <w:rPr>
                <w:rFonts w:ascii="Times New Roman" w:hAnsi="Times New Roman"/>
                <w:i/>
                <w:szCs w:val="24"/>
              </w:rPr>
              <w:t>19,050</w:t>
            </w:r>
            <w:r w:rsidRPr="00724467">
              <w:rPr>
                <w:rFonts w:ascii="Times New Roman" w:hAnsi="Times New Roman"/>
                <w:i/>
                <w:szCs w:val="24"/>
              </w:rPr>
              <w:t>; ordinary</w:t>
            </w:r>
          </w:p>
        </w:tc>
        <w:tc>
          <w:tcPr>
            <w:tcW w:w="0" w:type="auto"/>
          </w:tcPr>
          <w:p w14:paraId="2B140DD3" w14:textId="77777777" w:rsidR="00745022" w:rsidRPr="00724467" w:rsidRDefault="00745022" w:rsidP="000A6D89">
            <w:pPr>
              <w:pStyle w:val="HangingIndent3"/>
              <w:spacing w:after="0"/>
              <w:ind w:left="0" w:firstLine="0"/>
              <w:jc w:val="center"/>
              <w:rPr>
                <w:rFonts w:ascii="Times New Roman" w:hAnsi="Times New Roman"/>
                <w:i/>
                <w:szCs w:val="24"/>
              </w:rPr>
            </w:pPr>
            <w:r w:rsidRPr="00724467">
              <w:rPr>
                <w:rFonts w:ascii="Times New Roman" w:hAnsi="Times New Roman"/>
                <w:i/>
                <w:szCs w:val="24"/>
              </w:rPr>
              <w:t>10%</w:t>
            </w:r>
          </w:p>
        </w:tc>
        <w:tc>
          <w:tcPr>
            <w:tcW w:w="0" w:type="auto"/>
          </w:tcPr>
          <w:p w14:paraId="3B63280D" w14:textId="666AE1CF" w:rsidR="00745022" w:rsidRPr="00724467" w:rsidRDefault="00745022" w:rsidP="003E3DAE">
            <w:pPr>
              <w:pStyle w:val="HangingIndent3"/>
              <w:spacing w:after="0"/>
              <w:ind w:left="0" w:firstLine="0"/>
              <w:jc w:val="right"/>
              <w:rPr>
                <w:rFonts w:ascii="Times New Roman" w:hAnsi="Times New Roman"/>
                <w:i/>
                <w:szCs w:val="24"/>
              </w:rPr>
            </w:pPr>
            <w:r w:rsidRPr="00724467">
              <w:rPr>
                <w:rFonts w:ascii="Times New Roman" w:hAnsi="Times New Roman"/>
                <w:i/>
                <w:szCs w:val="24"/>
              </w:rPr>
              <w:t>$</w:t>
            </w:r>
            <w:r w:rsidR="003E3DAE">
              <w:rPr>
                <w:rFonts w:ascii="Times New Roman" w:hAnsi="Times New Roman"/>
                <w:i/>
                <w:szCs w:val="24"/>
              </w:rPr>
              <w:t>1,905</w:t>
            </w:r>
          </w:p>
        </w:tc>
        <w:tc>
          <w:tcPr>
            <w:tcW w:w="0" w:type="auto"/>
          </w:tcPr>
          <w:p w14:paraId="660450BD" w14:textId="7E24EEA4" w:rsidR="00745022" w:rsidRPr="00724467" w:rsidRDefault="00745022" w:rsidP="000A6D89">
            <w:pPr>
              <w:pStyle w:val="HangingIndent3"/>
              <w:spacing w:after="60"/>
              <w:ind w:left="0" w:firstLine="0"/>
              <w:rPr>
                <w:rFonts w:ascii="Times New Roman" w:hAnsi="Times New Roman"/>
                <w:i/>
                <w:szCs w:val="24"/>
              </w:rPr>
            </w:pPr>
            <w:r w:rsidRPr="00724467">
              <w:rPr>
                <w:rFonts w:ascii="Times New Roman" w:hAnsi="Times New Roman"/>
                <w:i/>
                <w:szCs w:val="24"/>
              </w:rPr>
              <w:t>$</w:t>
            </w:r>
            <w:r w:rsidR="003E3DAE">
              <w:rPr>
                <w:rFonts w:ascii="Times New Roman" w:hAnsi="Times New Roman"/>
                <w:i/>
                <w:szCs w:val="24"/>
              </w:rPr>
              <w:t>19,050</w:t>
            </w:r>
            <w:r w:rsidR="00A91D09" w:rsidRPr="00724467">
              <w:rPr>
                <w:rFonts w:ascii="Times New Roman" w:hAnsi="Times New Roman"/>
                <w:i/>
                <w:szCs w:val="24"/>
              </w:rPr>
              <w:t xml:space="preserve"> </w:t>
            </w:r>
            <w:r w:rsidR="00007FF9">
              <w:rPr>
                <w:rFonts w:ascii="Times New Roman" w:hAnsi="Times New Roman"/>
                <w:i/>
                <w:szCs w:val="24"/>
              </w:rPr>
              <w:t>×</w:t>
            </w:r>
            <w:r w:rsidR="00007FF9" w:rsidRPr="00724467">
              <w:rPr>
                <w:rFonts w:ascii="Times New Roman" w:hAnsi="Times New Roman"/>
                <w:i/>
                <w:szCs w:val="24"/>
              </w:rPr>
              <w:t xml:space="preserve"> </w:t>
            </w:r>
            <w:r w:rsidRPr="00724467">
              <w:rPr>
                <w:rFonts w:ascii="Times New Roman" w:hAnsi="Times New Roman"/>
                <w:i/>
                <w:szCs w:val="24"/>
              </w:rPr>
              <w:t>10%</w:t>
            </w:r>
          </w:p>
          <w:p w14:paraId="4E9A5094" w14:textId="5F25FE94" w:rsidR="00745022" w:rsidRPr="00724467" w:rsidRDefault="00745022" w:rsidP="003E3DAE">
            <w:pPr>
              <w:pStyle w:val="HangingIndent3"/>
              <w:spacing w:after="60"/>
              <w:ind w:left="0" w:firstLine="0"/>
              <w:rPr>
                <w:rFonts w:ascii="Times New Roman" w:hAnsi="Times New Roman"/>
                <w:i/>
                <w:szCs w:val="24"/>
              </w:rPr>
            </w:pPr>
            <w:r w:rsidRPr="00724467">
              <w:rPr>
                <w:rFonts w:ascii="Times New Roman" w:hAnsi="Times New Roman"/>
                <w:i/>
                <w:szCs w:val="24"/>
              </w:rPr>
              <w:t>The first $</w:t>
            </w:r>
            <w:r w:rsidR="003E3DAE">
              <w:rPr>
                <w:rFonts w:ascii="Times New Roman" w:hAnsi="Times New Roman"/>
                <w:i/>
                <w:szCs w:val="24"/>
              </w:rPr>
              <w:t>19,050</w:t>
            </w:r>
            <w:r w:rsidR="00A91D09" w:rsidRPr="00724467">
              <w:rPr>
                <w:rFonts w:ascii="Times New Roman" w:hAnsi="Times New Roman"/>
                <w:i/>
                <w:szCs w:val="24"/>
              </w:rPr>
              <w:t xml:space="preserve"> </w:t>
            </w:r>
            <w:r w:rsidRPr="00724467">
              <w:rPr>
                <w:rFonts w:ascii="Times New Roman" w:hAnsi="Times New Roman"/>
                <w:i/>
                <w:szCs w:val="24"/>
              </w:rPr>
              <w:t>of Ron and Anne’s $</w:t>
            </w:r>
            <w:r w:rsidR="00CF531D">
              <w:rPr>
                <w:rFonts w:ascii="Times New Roman" w:hAnsi="Times New Roman"/>
                <w:i/>
                <w:szCs w:val="24"/>
              </w:rPr>
              <w:t>401</w:t>
            </w:r>
            <w:r w:rsidRPr="00724467">
              <w:rPr>
                <w:rFonts w:ascii="Times New Roman" w:hAnsi="Times New Roman"/>
                <w:i/>
                <w:szCs w:val="24"/>
              </w:rPr>
              <w:t>,000 of ordinary income is taxed at 10% (see MFJ tax rate schedule for this and other computations).</w:t>
            </w:r>
          </w:p>
        </w:tc>
      </w:tr>
      <w:tr w:rsidR="00130F40" w:rsidRPr="00724467" w14:paraId="58E4298D" w14:textId="77777777" w:rsidTr="00724467">
        <w:trPr>
          <w:jc w:val="center"/>
        </w:trPr>
        <w:tc>
          <w:tcPr>
            <w:tcW w:w="0" w:type="auto"/>
          </w:tcPr>
          <w:p w14:paraId="00CF6813" w14:textId="6356ED27" w:rsidR="00745022" w:rsidRPr="00724467" w:rsidRDefault="00745022" w:rsidP="003E3DAE">
            <w:pPr>
              <w:pStyle w:val="HangingIndent3"/>
              <w:spacing w:after="0"/>
              <w:ind w:left="0" w:firstLine="0"/>
              <w:rPr>
                <w:rFonts w:ascii="Times New Roman" w:hAnsi="Times New Roman"/>
                <w:i/>
                <w:szCs w:val="24"/>
              </w:rPr>
            </w:pPr>
            <w:r w:rsidRPr="00724467">
              <w:rPr>
                <w:rFonts w:ascii="Times New Roman" w:hAnsi="Times New Roman"/>
                <w:i/>
                <w:szCs w:val="24"/>
              </w:rPr>
              <w:t>$</w:t>
            </w:r>
            <w:r w:rsidR="003E3DAE">
              <w:rPr>
                <w:rFonts w:ascii="Times New Roman" w:hAnsi="Times New Roman"/>
                <w:i/>
                <w:szCs w:val="24"/>
              </w:rPr>
              <w:t>58,350</w:t>
            </w:r>
            <w:r w:rsidRPr="00724467">
              <w:rPr>
                <w:rFonts w:ascii="Times New Roman" w:hAnsi="Times New Roman"/>
                <w:i/>
                <w:szCs w:val="24"/>
              </w:rPr>
              <w:t>; ordinary</w:t>
            </w:r>
          </w:p>
        </w:tc>
        <w:tc>
          <w:tcPr>
            <w:tcW w:w="0" w:type="auto"/>
          </w:tcPr>
          <w:p w14:paraId="2FD86071" w14:textId="13875B43" w:rsidR="00745022" w:rsidRPr="00724467" w:rsidRDefault="00745022" w:rsidP="000A6D89">
            <w:pPr>
              <w:pStyle w:val="HangingIndent3"/>
              <w:spacing w:after="0"/>
              <w:ind w:left="0" w:firstLine="0"/>
              <w:jc w:val="center"/>
              <w:rPr>
                <w:rFonts w:ascii="Times New Roman" w:hAnsi="Times New Roman"/>
                <w:i/>
                <w:szCs w:val="24"/>
              </w:rPr>
            </w:pPr>
            <w:r w:rsidRPr="00724467">
              <w:rPr>
                <w:rFonts w:ascii="Times New Roman" w:hAnsi="Times New Roman"/>
                <w:i/>
                <w:szCs w:val="24"/>
              </w:rPr>
              <w:t>1</w:t>
            </w:r>
            <w:r w:rsidR="00A62E01">
              <w:rPr>
                <w:rFonts w:ascii="Times New Roman" w:hAnsi="Times New Roman"/>
                <w:i/>
                <w:szCs w:val="24"/>
              </w:rPr>
              <w:t>2</w:t>
            </w:r>
            <w:r w:rsidRPr="00724467">
              <w:rPr>
                <w:rFonts w:ascii="Times New Roman" w:hAnsi="Times New Roman"/>
                <w:i/>
                <w:szCs w:val="24"/>
              </w:rPr>
              <w:t>%</w:t>
            </w:r>
          </w:p>
        </w:tc>
        <w:tc>
          <w:tcPr>
            <w:tcW w:w="0" w:type="auto"/>
          </w:tcPr>
          <w:p w14:paraId="1AF8AA18" w14:textId="4AC4E684" w:rsidR="00745022" w:rsidRPr="00724467" w:rsidRDefault="00745022">
            <w:pPr>
              <w:pStyle w:val="HangingIndent3"/>
              <w:spacing w:after="0"/>
              <w:ind w:left="0" w:firstLine="0"/>
              <w:jc w:val="right"/>
              <w:rPr>
                <w:rFonts w:ascii="Times New Roman" w:hAnsi="Times New Roman"/>
                <w:i/>
                <w:szCs w:val="24"/>
              </w:rPr>
            </w:pPr>
            <w:r w:rsidRPr="00724467">
              <w:rPr>
                <w:rFonts w:ascii="Times New Roman" w:hAnsi="Times New Roman"/>
                <w:i/>
                <w:szCs w:val="24"/>
              </w:rPr>
              <w:t>$</w:t>
            </w:r>
            <w:r w:rsidR="00A62E01">
              <w:rPr>
                <w:rFonts w:ascii="Times New Roman" w:hAnsi="Times New Roman"/>
                <w:i/>
                <w:szCs w:val="24"/>
              </w:rPr>
              <w:t>7,002</w:t>
            </w:r>
          </w:p>
        </w:tc>
        <w:tc>
          <w:tcPr>
            <w:tcW w:w="0" w:type="auto"/>
          </w:tcPr>
          <w:p w14:paraId="50A20DEE" w14:textId="7ECC333C" w:rsidR="00745022" w:rsidRPr="00724467" w:rsidRDefault="00745022" w:rsidP="000A6D89">
            <w:pPr>
              <w:pStyle w:val="HangingIndent3"/>
              <w:spacing w:after="60"/>
              <w:ind w:left="0" w:firstLine="0"/>
              <w:rPr>
                <w:rFonts w:ascii="Times New Roman" w:hAnsi="Times New Roman"/>
                <w:i/>
                <w:szCs w:val="24"/>
              </w:rPr>
            </w:pPr>
            <w:r w:rsidRPr="00724467">
              <w:rPr>
                <w:rFonts w:ascii="Times New Roman" w:hAnsi="Times New Roman"/>
                <w:i/>
                <w:szCs w:val="24"/>
              </w:rPr>
              <w:t>$</w:t>
            </w:r>
            <w:r w:rsidR="003E3DAE">
              <w:rPr>
                <w:rFonts w:ascii="Times New Roman" w:hAnsi="Times New Roman"/>
                <w:i/>
                <w:szCs w:val="24"/>
              </w:rPr>
              <w:t>58,350</w:t>
            </w:r>
            <w:r w:rsidRPr="00724467">
              <w:rPr>
                <w:rFonts w:ascii="Times New Roman" w:hAnsi="Times New Roman"/>
                <w:i/>
                <w:szCs w:val="24"/>
              </w:rPr>
              <w:t xml:space="preserve"> </w:t>
            </w:r>
            <w:r w:rsidR="00007FF9">
              <w:rPr>
                <w:rFonts w:ascii="Times New Roman" w:hAnsi="Times New Roman"/>
                <w:i/>
                <w:szCs w:val="24"/>
              </w:rPr>
              <w:t>×</w:t>
            </w:r>
            <w:r w:rsidR="00007FF9" w:rsidRPr="00724467">
              <w:rPr>
                <w:rFonts w:ascii="Times New Roman" w:hAnsi="Times New Roman"/>
                <w:i/>
                <w:szCs w:val="24"/>
              </w:rPr>
              <w:t xml:space="preserve"> </w:t>
            </w:r>
            <w:r w:rsidRPr="00724467">
              <w:rPr>
                <w:rFonts w:ascii="Times New Roman" w:hAnsi="Times New Roman"/>
                <w:i/>
                <w:szCs w:val="24"/>
              </w:rPr>
              <w:t>1</w:t>
            </w:r>
            <w:r w:rsidR="00A62E01">
              <w:rPr>
                <w:rFonts w:ascii="Times New Roman" w:hAnsi="Times New Roman"/>
                <w:i/>
                <w:szCs w:val="24"/>
              </w:rPr>
              <w:t>2</w:t>
            </w:r>
            <w:r w:rsidRPr="00724467">
              <w:rPr>
                <w:rFonts w:ascii="Times New Roman" w:hAnsi="Times New Roman"/>
                <w:i/>
                <w:szCs w:val="24"/>
              </w:rPr>
              <w:t>%.</w:t>
            </w:r>
          </w:p>
          <w:p w14:paraId="73FD5649" w14:textId="7AD68A77" w:rsidR="00745022" w:rsidRPr="00724467" w:rsidRDefault="00745022">
            <w:pPr>
              <w:pStyle w:val="HangingIndent3"/>
              <w:spacing w:after="60"/>
              <w:ind w:left="0" w:firstLine="0"/>
              <w:rPr>
                <w:rFonts w:ascii="Times New Roman" w:hAnsi="Times New Roman"/>
                <w:i/>
                <w:szCs w:val="24"/>
              </w:rPr>
            </w:pPr>
            <w:r w:rsidRPr="00724467">
              <w:rPr>
                <w:rFonts w:ascii="Times New Roman" w:hAnsi="Times New Roman"/>
                <w:i/>
                <w:szCs w:val="24"/>
              </w:rPr>
              <w:t>The next $</w:t>
            </w:r>
            <w:r w:rsidR="003E3DAE">
              <w:rPr>
                <w:rFonts w:ascii="Times New Roman" w:hAnsi="Times New Roman"/>
                <w:i/>
                <w:szCs w:val="24"/>
              </w:rPr>
              <w:t>58,350</w:t>
            </w:r>
            <w:r w:rsidR="00DA4337">
              <w:rPr>
                <w:rFonts w:ascii="Times New Roman" w:hAnsi="Times New Roman"/>
                <w:i/>
                <w:szCs w:val="24"/>
              </w:rPr>
              <w:t xml:space="preserve"> </w:t>
            </w:r>
            <w:r w:rsidR="007F24C8">
              <w:rPr>
                <w:rFonts w:ascii="Times New Roman" w:hAnsi="Times New Roman"/>
                <w:i/>
                <w:szCs w:val="24"/>
              </w:rPr>
              <w:t>($</w:t>
            </w:r>
            <w:r w:rsidR="003E3DAE">
              <w:rPr>
                <w:rFonts w:ascii="Times New Roman" w:hAnsi="Times New Roman"/>
                <w:i/>
                <w:szCs w:val="24"/>
              </w:rPr>
              <w:t>77,400</w:t>
            </w:r>
            <w:r w:rsidR="00A91D09">
              <w:rPr>
                <w:rFonts w:ascii="Times New Roman" w:hAnsi="Times New Roman"/>
                <w:i/>
                <w:szCs w:val="24"/>
              </w:rPr>
              <w:t xml:space="preserve"> </w:t>
            </w:r>
            <w:r w:rsidR="007F24C8">
              <w:rPr>
                <w:rFonts w:ascii="Times New Roman" w:hAnsi="Times New Roman"/>
                <w:i/>
                <w:szCs w:val="24"/>
              </w:rPr>
              <w:t>- $</w:t>
            </w:r>
            <w:r w:rsidR="003E3DAE">
              <w:rPr>
                <w:rFonts w:ascii="Times New Roman" w:hAnsi="Times New Roman"/>
                <w:i/>
                <w:szCs w:val="24"/>
              </w:rPr>
              <w:t>19,0</w:t>
            </w:r>
            <w:r w:rsidR="00A91D09">
              <w:rPr>
                <w:rFonts w:ascii="Times New Roman" w:hAnsi="Times New Roman"/>
                <w:i/>
                <w:szCs w:val="24"/>
              </w:rPr>
              <w:t>50</w:t>
            </w:r>
            <w:r w:rsidR="007F24C8">
              <w:rPr>
                <w:rFonts w:ascii="Times New Roman" w:hAnsi="Times New Roman"/>
                <w:i/>
                <w:szCs w:val="24"/>
              </w:rPr>
              <w:t>)</w:t>
            </w:r>
            <w:r w:rsidRPr="00724467">
              <w:rPr>
                <w:rFonts w:ascii="Times New Roman" w:hAnsi="Times New Roman"/>
                <w:i/>
                <w:szCs w:val="24"/>
              </w:rPr>
              <w:t xml:space="preserve"> of Ron and Anne’s $</w:t>
            </w:r>
            <w:r w:rsidR="00CF531D">
              <w:rPr>
                <w:rFonts w:ascii="Times New Roman" w:hAnsi="Times New Roman"/>
                <w:i/>
                <w:szCs w:val="24"/>
              </w:rPr>
              <w:t>401</w:t>
            </w:r>
            <w:r w:rsidRPr="00724467">
              <w:rPr>
                <w:rFonts w:ascii="Times New Roman" w:hAnsi="Times New Roman"/>
                <w:i/>
                <w:szCs w:val="24"/>
              </w:rPr>
              <w:t>,000 of ordinary income is taxed at 1</w:t>
            </w:r>
            <w:r w:rsidR="00A62E01">
              <w:rPr>
                <w:rFonts w:ascii="Times New Roman" w:hAnsi="Times New Roman"/>
                <w:i/>
                <w:szCs w:val="24"/>
              </w:rPr>
              <w:t>2</w:t>
            </w:r>
            <w:r w:rsidRPr="00724467">
              <w:rPr>
                <w:rFonts w:ascii="Times New Roman" w:hAnsi="Times New Roman"/>
                <w:i/>
                <w:szCs w:val="24"/>
              </w:rPr>
              <w:t>%.</w:t>
            </w:r>
          </w:p>
        </w:tc>
      </w:tr>
      <w:tr w:rsidR="00130F40" w:rsidRPr="00724467" w14:paraId="5663A377" w14:textId="77777777" w:rsidTr="00724467">
        <w:trPr>
          <w:jc w:val="center"/>
        </w:trPr>
        <w:tc>
          <w:tcPr>
            <w:tcW w:w="0" w:type="auto"/>
          </w:tcPr>
          <w:p w14:paraId="441AE9F4" w14:textId="55882BF7" w:rsidR="00745022" w:rsidRPr="00724467" w:rsidRDefault="00745022">
            <w:pPr>
              <w:pStyle w:val="HangingIndent3"/>
              <w:spacing w:after="0"/>
              <w:ind w:left="0" w:firstLine="0"/>
              <w:rPr>
                <w:rFonts w:ascii="Times New Roman" w:hAnsi="Times New Roman"/>
                <w:i/>
                <w:szCs w:val="24"/>
              </w:rPr>
            </w:pPr>
            <w:r w:rsidRPr="00724467">
              <w:rPr>
                <w:rFonts w:ascii="Times New Roman" w:hAnsi="Times New Roman"/>
                <w:i/>
                <w:szCs w:val="24"/>
              </w:rPr>
              <w:t>$</w:t>
            </w:r>
            <w:r w:rsidR="00A62E01">
              <w:rPr>
                <w:rFonts w:ascii="Times New Roman" w:hAnsi="Times New Roman"/>
                <w:i/>
                <w:szCs w:val="24"/>
              </w:rPr>
              <w:t>87</w:t>
            </w:r>
            <w:r w:rsidR="003E3DAE">
              <w:rPr>
                <w:rFonts w:ascii="Times New Roman" w:hAnsi="Times New Roman"/>
                <w:i/>
                <w:szCs w:val="24"/>
              </w:rPr>
              <w:t>,</w:t>
            </w:r>
            <w:r w:rsidR="00A62E01">
              <w:rPr>
                <w:rFonts w:ascii="Times New Roman" w:hAnsi="Times New Roman"/>
                <w:i/>
                <w:szCs w:val="24"/>
              </w:rPr>
              <w:t>60</w:t>
            </w:r>
            <w:r w:rsidR="003E3DAE">
              <w:rPr>
                <w:rFonts w:ascii="Times New Roman" w:hAnsi="Times New Roman"/>
                <w:i/>
                <w:szCs w:val="24"/>
              </w:rPr>
              <w:t>0</w:t>
            </w:r>
            <w:r w:rsidRPr="00724467">
              <w:rPr>
                <w:rFonts w:ascii="Times New Roman" w:hAnsi="Times New Roman"/>
                <w:i/>
                <w:szCs w:val="24"/>
              </w:rPr>
              <w:t>; ordinary</w:t>
            </w:r>
          </w:p>
        </w:tc>
        <w:tc>
          <w:tcPr>
            <w:tcW w:w="0" w:type="auto"/>
          </w:tcPr>
          <w:p w14:paraId="578E066A" w14:textId="640B9345" w:rsidR="00745022" w:rsidRPr="00724467" w:rsidRDefault="00745022">
            <w:pPr>
              <w:pStyle w:val="HangingIndent3"/>
              <w:spacing w:after="0"/>
              <w:ind w:left="0" w:firstLine="0"/>
              <w:jc w:val="center"/>
              <w:rPr>
                <w:rFonts w:ascii="Times New Roman" w:hAnsi="Times New Roman"/>
                <w:i/>
                <w:szCs w:val="24"/>
              </w:rPr>
            </w:pPr>
            <w:r w:rsidRPr="00724467">
              <w:rPr>
                <w:rFonts w:ascii="Times New Roman" w:hAnsi="Times New Roman"/>
                <w:i/>
                <w:szCs w:val="24"/>
              </w:rPr>
              <w:t>2</w:t>
            </w:r>
            <w:r w:rsidR="00A62E01">
              <w:rPr>
                <w:rFonts w:ascii="Times New Roman" w:hAnsi="Times New Roman"/>
                <w:i/>
                <w:szCs w:val="24"/>
              </w:rPr>
              <w:t>2</w:t>
            </w:r>
            <w:r w:rsidRPr="00724467">
              <w:rPr>
                <w:rFonts w:ascii="Times New Roman" w:hAnsi="Times New Roman"/>
                <w:i/>
                <w:szCs w:val="24"/>
              </w:rPr>
              <w:t>%</w:t>
            </w:r>
          </w:p>
        </w:tc>
        <w:tc>
          <w:tcPr>
            <w:tcW w:w="0" w:type="auto"/>
          </w:tcPr>
          <w:p w14:paraId="7E98E300" w14:textId="2B1DB787" w:rsidR="00745022" w:rsidRPr="00724467" w:rsidRDefault="00745022">
            <w:pPr>
              <w:pStyle w:val="HangingIndent3"/>
              <w:spacing w:after="0"/>
              <w:ind w:left="0" w:firstLine="0"/>
              <w:jc w:val="right"/>
              <w:rPr>
                <w:rFonts w:ascii="Times New Roman" w:hAnsi="Times New Roman"/>
                <w:i/>
                <w:szCs w:val="24"/>
              </w:rPr>
            </w:pPr>
            <w:r w:rsidRPr="00724467">
              <w:rPr>
                <w:rFonts w:ascii="Times New Roman" w:hAnsi="Times New Roman"/>
                <w:i/>
                <w:szCs w:val="24"/>
              </w:rPr>
              <w:t>$</w:t>
            </w:r>
            <w:r w:rsidR="004A43AC">
              <w:rPr>
                <w:rFonts w:ascii="Times New Roman" w:hAnsi="Times New Roman"/>
                <w:i/>
                <w:szCs w:val="24"/>
              </w:rPr>
              <w:t>19,</w:t>
            </w:r>
            <w:r w:rsidR="00A62E01">
              <w:rPr>
                <w:rFonts w:ascii="Times New Roman" w:hAnsi="Times New Roman"/>
                <w:i/>
                <w:szCs w:val="24"/>
              </w:rPr>
              <w:t>272</w:t>
            </w:r>
          </w:p>
        </w:tc>
        <w:tc>
          <w:tcPr>
            <w:tcW w:w="0" w:type="auto"/>
          </w:tcPr>
          <w:p w14:paraId="4A4976AD" w14:textId="5072A8B3" w:rsidR="00745022" w:rsidRPr="00724467" w:rsidRDefault="00D720A2" w:rsidP="000A6D89">
            <w:pPr>
              <w:pStyle w:val="HangingIndent3"/>
              <w:spacing w:after="60"/>
              <w:ind w:left="0" w:firstLine="0"/>
              <w:rPr>
                <w:rFonts w:ascii="Times New Roman" w:hAnsi="Times New Roman"/>
                <w:i/>
                <w:szCs w:val="24"/>
              </w:rPr>
            </w:pPr>
            <w:r>
              <w:rPr>
                <w:rFonts w:ascii="Times New Roman" w:hAnsi="Times New Roman"/>
                <w:i/>
                <w:szCs w:val="24"/>
              </w:rPr>
              <w:t>$</w:t>
            </w:r>
            <w:r w:rsidR="00A62E01">
              <w:rPr>
                <w:rFonts w:ascii="Times New Roman" w:hAnsi="Times New Roman"/>
                <w:i/>
                <w:szCs w:val="24"/>
              </w:rPr>
              <w:t>87</w:t>
            </w:r>
            <w:r w:rsidR="003E3DAE">
              <w:rPr>
                <w:rFonts w:ascii="Times New Roman" w:hAnsi="Times New Roman"/>
                <w:i/>
                <w:szCs w:val="24"/>
              </w:rPr>
              <w:t>,</w:t>
            </w:r>
            <w:r w:rsidR="00A62E01">
              <w:rPr>
                <w:rFonts w:ascii="Times New Roman" w:hAnsi="Times New Roman"/>
                <w:i/>
                <w:szCs w:val="24"/>
              </w:rPr>
              <w:t>60</w:t>
            </w:r>
            <w:r w:rsidR="003E3DAE">
              <w:rPr>
                <w:rFonts w:ascii="Times New Roman" w:hAnsi="Times New Roman"/>
                <w:i/>
                <w:szCs w:val="24"/>
              </w:rPr>
              <w:t>0</w:t>
            </w:r>
            <w:r w:rsidR="00745022" w:rsidRPr="00724467">
              <w:rPr>
                <w:rFonts w:ascii="Times New Roman" w:hAnsi="Times New Roman"/>
                <w:i/>
                <w:szCs w:val="24"/>
              </w:rPr>
              <w:t xml:space="preserve"> </w:t>
            </w:r>
            <w:r w:rsidR="00007FF9">
              <w:rPr>
                <w:rFonts w:ascii="Times New Roman" w:hAnsi="Times New Roman"/>
                <w:i/>
                <w:szCs w:val="24"/>
              </w:rPr>
              <w:t xml:space="preserve">× </w:t>
            </w:r>
            <w:r w:rsidR="00745022" w:rsidRPr="00724467">
              <w:rPr>
                <w:rFonts w:ascii="Times New Roman" w:hAnsi="Times New Roman"/>
                <w:i/>
                <w:szCs w:val="24"/>
              </w:rPr>
              <w:t>2</w:t>
            </w:r>
            <w:r w:rsidR="00A62E01">
              <w:rPr>
                <w:rFonts w:ascii="Times New Roman" w:hAnsi="Times New Roman"/>
                <w:i/>
                <w:szCs w:val="24"/>
              </w:rPr>
              <w:t>2</w:t>
            </w:r>
            <w:r w:rsidR="00745022" w:rsidRPr="00724467">
              <w:rPr>
                <w:rFonts w:ascii="Times New Roman" w:hAnsi="Times New Roman"/>
                <w:i/>
                <w:szCs w:val="24"/>
              </w:rPr>
              <w:t>%</w:t>
            </w:r>
          </w:p>
          <w:p w14:paraId="7F5AB877" w14:textId="149DDC04" w:rsidR="00745022" w:rsidRPr="00724467" w:rsidRDefault="00745022">
            <w:pPr>
              <w:pStyle w:val="HangingIndent3"/>
              <w:spacing w:after="60"/>
              <w:ind w:left="0" w:firstLine="0"/>
              <w:rPr>
                <w:rFonts w:ascii="Times New Roman" w:hAnsi="Times New Roman"/>
                <w:i/>
                <w:szCs w:val="24"/>
              </w:rPr>
            </w:pPr>
            <w:r w:rsidRPr="00724467">
              <w:rPr>
                <w:rFonts w:ascii="Times New Roman" w:hAnsi="Times New Roman"/>
                <w:i/>
                <w:szCs w:val="24"/>
              </w:rPr>
              <w:t>The next $</w:t>
            </w:r>
            <w:r w:rsidR="00A62E01">
              <w:rPr>
                <w:rFonts w:ascii="Times New Roman" w:hAnsi="Times New Roman"/>
                <w:i/>
                <w:szCs w:val="24"/>
              </w:rPr>
              <w:t>87</w:t>
            </w:r>
            <w:r w:rsidR="003E3DAE">
              <w:rPr>
                <w:rFonts w:ascii="Times New Roman" w:hAnsi="Times New Roman"/>
                <w:i/>
                <w:szCs w:val="24"/>
              </w:rPr>
              <w:t>,</w:t>
            </w:r>
            <w:r w:rsidR="00A62E01">
              <w:rPr>
                <w:rFonts w:ascii="Times New Roman" w:hAnsi="Times New Roman"/>
                <w:i/>
                <w:szCs w:val="24"/>
              </w:rPr>
              <w:t>60</w:t>
            </w:r>
            <w:r w:rsidR="003E3DAE">
              <w:rPr>
                <w:rFonts w:ascii="Times New Roman" w:hAnsi="Times New Roman"/>
                <w:i/>
                <w:szCs w:val="24"/>
              </w:rPr>
              <w:t>0</w:t>
            </w:r>
            <w:r w:rsidR="007F24C8">
              <w:rPr>
                <w:rFonts w:ascii="Times New Roman" w:hAnsi="Times New Roman"/>
                <w:i/>
                <w:szCs w:val="24"/>
              </w:rPr>
              <w:t xml:space="preserve"> ($</w:t>
            </w:r>
            <w:r w:rsidR="00A62E01">
              <w:rPr>
                <w:rFonts w:ascii="Times New Roman" w:hAnsi="Times New Roman"/>
                <w:i/>
                <w:szCs w:val="24"/>
              </w:rPr>
              <w:t>165</w:t>
            </w:r>
            <w:r w:rsidR="003E3DAE">
              <w:rPr>
                <w:rFonts w:ascii="Times New Roman" w:hAnsi="Times New Roman"/>
                <w:i/>
                <w:szCs w:val="24"/>
              </w:rPr>
              <w:t>,</w:t>
            </w:r>
            <w:r w:rsidR="00A62E01">
              <w:rPr>
                <w:rFonts w:ascii="Times New Roman" w:hAnsi="Times New Roman"/>
                <w:i/>
                <w:szCs w:val="24"/>
              </w:rPr>
              <w:t>000</w:t>
            </w:r>
            <w:r w:rsidR="007F24C8">
              <w:rPr>
                <w:rFonts w:ascii="Times New Roman" w:hAnsi="Times New Roman"/>
                <w:i/>
                <w:szCs w:val="24"/>
              </w:rPr>
              <w:t>-$</w:t>
            </w:r>
            <w:r w:rsidR="003E3DAE">
              <w:rPr>
                <w:rFonts w:ascii="Times New Roman" w:hAnsi="Times New Roman"/>
                <w:i/>
                <w:szCs w:val="24"/>
              </w:rPr>
              <w:t>77,400</w:t>
            </w:r>
            <w:r w:rsidR="007F24C8">
              <w:rPr>
                <w:rFonts w:ascii="Times New Roman" w:hAnsi="Times New Roman"/>
                <w:i/>
                <w:szCs w:val="24"/>
              </w:rPr>
              <w:t>)</w:t>
            </w:r>
            <w:r w:rsidRPr="00724467">
              <w:rPr>
                <w:rFonts w:ascii="Times New Roman" w:hAnsi="Times New Roman"/>
                <w:i/>
                <w:szCs w:val="24"/>
              </w:rPr>
              <w:t xml:space="preserve"> of Ron and Anne’s $</w:t>
            </w:r>
            <w:r w:rsidR="00CF531D">
              <w:rPr>
                <w:rFonts w:ascii="Times New Roman" w:hAnsi="Times New Roman"/>
                <w:i/>
                <w:szCs w:val="24"/>
              </w:rPr>
              <w:t>401</w:t>
            </w:r>
            <w:r w:rsidRPr="00724467">
              <w:rPr>
                <w:rFonts w:ascii="Times New Roman" w:hAnsi="Times New Roman"/>
                <w:i/>
                <w:szCs w:val="24"/>
              </w:rPr>
              <w:t>,000 of ordinary income is taxed at 2</w:t>
            </w:r>
            <w:r w:rsidR="00A62E01">
              <w:rPr>
                <w:rFonts w:ascii="Times New Roman" w:hAnsi="Times New Roman"/>
                <w:i/>
                <w:szCs w:val="24"/>
              </w:rPr>
              <w:t>2</w:t>
            </w:r>
            <w:r w:rsidRPr="00724467">
              <w:rPr>
                <w:rFonts w:ascii="Times New Roman" w:hAnsi="Times New Roman"/>
                <w:i/>
                <w:szCs w:val="24"/>
              </w:rPr>
              <w:t>%.</w:t>
            </w:r>
          </w:p>
        </w:tc>
      </w:tr>
      <w:tr w:rsidR="00130F40" w:rsidRPr="00724467" w14:paraId="0B93F4F4" w14:textId="77777777" w:rsidTr="00CF531D">
        <w:trPr>
          <w:jc w:val="center"/>
        </w:trPr>
        <w:tc>
          <w:tcPr>
            <w:tcW w:w="0" w:type="auto"/>
            <w:shd w:val="clear" w:color="auto" w:fill="auto"/>
          </w:tcPr>
          <w:p w14:paraId="4782FE59" w14:textId="4B5C8996" w:rsidR="00CF531D" w:rsidRPr="00724467" w:rsidRDefault="00CF531D">
            <w:pPr>
              <w:pStyle w:val="HangingIndent3"/>
              <w:spacing w:after="0"/>
              <w:ind w:left="0" w:firstLine="0"/>
              <w:rPr>
                <w:rFonts w:ascii="Times New Roman" w:hAnsi="Times New Roman"/>
                <w:i/>
                <w:szCs w:val="24"/>
              </w:rPr>
            </w:pPr>
            <w:r>
              <w:rPr>
                <w:rFonts w:ascii="Times New Roman" w:hAnsi="Times New Roman"/>
                <w:i/>
                <w:szCs w:val="24"/>
              </w:rPr>
              <w:t>$</w:t>
            </w:r>
            <w:r w:rsidR="00A62E01">
              <w:rPr>
                <w:rFonts w:ascii="Times New Roman" w:hAnsi="Times New Roman"/>
                <w:i/>
                <w:szCs w:val="24"/>
              </w:rPr>
              <w:t>150</w:t>
            </w:r>
            <w:r w:rsidR="003E3DAE">
              <w:rPr>
                <w:rFonts w:ascii="Times New Roman" w:hAnsi="Times New Roman"/>
                <w:i/>
                <w:szCs w:val="24"/>
              </w:rPr>
              <w:t>,</w:t>
            </w:r>
            <w:r w:rsidR="00A62E01">
              <w:rPr>
                <w:rFonts w:ascii="Times New Roman" w:hAnsi="Times New Roman"/>
                <w:i/>
                <w:szCs w:val="24"/>
              </w:rPr>
              <w:t>0</w:t>
            </w:r>
            <w:r w:rsidR="003E3DAE">
              <w:rPr>
                <w:rFonts w:ascii="Times New Roman" w:hAnsi="Times New Roman"/>
                <w:i/>
                <w:szCs w:val="24"/>
              </w:rPr>
              <w:t>00</w:t>
            </w:r>
            <w:r>
              <w:rPr>
                <w:rFonts w:ascii="Times New Roman" w:hAnsi="Times New Roman"/>
                <w:i/>
                <w:szCs w:val="24"/>
              </w:rPr>
              <w:t>; ordinary</w:t>
            </w:r>
          </w:p>
        </w:tc>
        <w:tc>
          <w:tcPr>
            <w:tcW w:w="0" w:type="auto"/>
            <w:shd w:val="clear" w:color="auto" w:fill="auto"/>
          </w:tcPr>
          <w:p w14:paraId="07646850" w14:textId="38170BC5" w:rsidR="00CF531D" w:rsidRPr="00724467" w:rsidRDefault="00CF531D">
            <w:pPr>
              <w:pStyle w:val="HangingIndent3"/>
              <w:spacing w:after="0"/>
              <w:ind w:left="0" w:firstLine="0"/>
              <w:jc w:val="center"/>
              <w:rPr>
                <w:rFonts w:ascii="Times New Roman" w:hAnsi="Times New Roman"/>
                <w:i/>
                <w:szCs w:val="24"/>
              </w:rPr>
            </w:pPr>
            <w:r>
              <w:rPr>
                <w:rFonts w:ascii="Times New Roman" w:hAnsi="Times New Roman"/>
                <w:i/>
                <w:szCs w:val="24"/>
              </w:rPr>
              <w:t>2</w:t>
            </w:r>
            <w:r w:rsidR="00A62E01">
              <w:rPr>
                <w:rFonts w:ascii="Times New Roman" w:hAnsi="Times New Roman"/>
                <w:i/>
                <w:szCs w:val="24"/>
              </w:rPr>
              <w:t>4</w:t>
            </w:r>
            <w:r>
              <w:rPr>
                <w:rFonts w:ascii="Times New Roman" w:hAnsi="Times New Roman"/>
                <w:i/>
                <w:szCs w:val="24"/>
              </w:rPr>
              <w:t>%</w:t>
            </w:r>
          </w:p>
        </w:tc>
        <w:tc>
          <w:tcPr>
            <w:tcW w:w="0" w:type="auto"/>
            <w:shd w:val="clear" w:color="auto" w:fill="auto"/>
          </w:tcPr>
          <w:p w14:paraId="32027F95" w14:textId="02856D90" w:rsidR="00CF531D" w:rsidRPr="00724467" w:rsidRDefault="00CF531D">
            <w:pPr>
              <w:pStyle w:val="HangingIndent3"/>
              <w:spacing w:after="0"/>
              <w:ind w:left="0" w:firstLine="0"/>
              <w:jc w:val="right"/>
              <w:rPr>
                <w:rFonts w:ascii="Times New Roman" w:hAnsi="Times New Roman"/>
                <w:i/>
                <w:szCs w:val="24"/>
              </w:rPr>
            </w:pPr>
            <w:r>
              <w:rPr>
                <w:rFonts w:ascii="Times New Roman" w:hAnsi="Times New Roman"/>
                <w:i/>
                <w:szCs w:val="24"/>
              </w:rPr>
              <w:t>$</w:t>
            </w:r>
            <w:r w:rsidR="00130F40">
              <w:rPr>
                <w:rFonts w:ascii="Times New Roman" w:hAnsi="Times New Roman"/>
                <w:i/>
                <w:szCs w:val="24"/>
              </w:rPr>
              <w:t>36,000</w:t>
            </w:r>
          </w:p>
        </w:tc>
        <w:tc>
          <w:tcPr>
            <w:tcW w:w="0" w:type="auto"/>
            <w:shd w:val="clear" w:color="auto" w:fill="auto"/>
          </w:tcPr>
          <w:p w14:paraId="24E54BA6" w14:textId="5434B5DE" w:rsidR="00CF531D" w:rsidRPr="00724467" w:rsidRDefault="00CF531D">
            <w:pPr>
              <w:pStyle w:val="HangingIndent3"/>
              <w:spacing w:after="60"/>
              <w:ind w:left="0" w:firstLine="0"/>
              <w:rPr>
                <w:rFonts w:ascii="Times New Roman" w:hAnsi="Times New Roman"/>
                <w:i/>
                <w:szCs w:val="24"/>
              </w:rPr>
            </w:pPr>
            <w:r>
              <w:rPr>
                <w:rFonts w:ascii="Times New Roman" w:hAnsi="Times New Roman"/>
                <w:i/>
                <w:szCs w:val="24"/>
              </w:rPr>
              <w:t>The next $</w:t>
            </w:r>
            <w:r w:rsidR="00130F40">
              <w:rPr>
                <w:rFonts w:ascii="Times New Roman" w:hAnsi="Times New Roman"/>
                <w:i/>
                <w:szCs w:val="24"/>
              </w:rPr>
              <w:t>150</w:t>
            </w:r>
            <w:r w:rsidR="003E3DAE">
              <w:rPr>
                <w:rFonts w:ascii="Times New Roman" w:hAnsi="Times New Roman"/>
                <w:i/>
                <w:szCs w:val="24"/>
              </w:rPr>
              <w:t>,</w:t>
            </w:r>
            <w:r w:rsidR="00130F40">
              <w:rPr>
                <w:rFonts w:ascii="Times New Roman" w:hAnsi="Times New Roman"/>
                <w:i/>
                <w:szCs w:val="24"/>
              </w:rPr>
              <w:t>0</w:t>
            </w:r>
            <w:r w:rsidR="003E3DAE">
              <w:rPr>
                <w:rFonts w:ascii="Times New Roman" w:hAnsi="Times New Roman"/>
                <w:i/>
                <w:szCs w:val="24"/>
              </w:rPr>
              <w:t>00</w:t>
            </w:r>
            <w:r w:rsidR="007F24C8">
              <w:rPr>
                <w:rFonts w:ascii="Times New Roman" w:hAnsi="Times New Roman"/>
                <w:i/>
                <w:szCs w:val="24"/>
              </w:rPr>
              <w:t xml:space="preserve"> ($</w:t>
            </w:r>
            <w:r w:rsidR="00130F40">
              <w:rPr>
                <w:rFonts w:ascii="Times New Roman" w:hAnsi="Times New Roman"/>
                <w:i/>
                <w:szCs w:val="24"/>
              </w:rPr>
              <w:t>315</w:t>
            </w:r>
            <w:r w:rsidR="003E3DAE">
              <w:rPr>
                <w:rFonts w:ascii="Times New Roman" w:hAnsi="Times New Roman"/>
                <w:i/>
                <w:szCs w:val="24"/>
              </w:rPr>
              <w:t>,</w:t>
            </w:r>
            <w:r w:rsidR="00130F40">
              <w:rPr>
                <w:rFonts w:ascii="Times New Roman" w:hAnsi="Times New Roman"/>
                <w:i/>
                <w:szCs w:val="24"/>
              </w:rPr>
              <w:t>00</w:t>
            </w:r>
            <w:r w:rsidR="003E3DAE">
              <w:rPr>
                <w:rFonts w:ascii="Times New Roman" w:hAnsi="Times New Roman"/>
                <w:i/>
                <w:szCs w:val="24"/>
              </w:rPr>
              <w:t>0</w:t>
            </w:r>
            <w:r w:rsidR="007F24C8">
              <w:rPr>
                <w:rFonts w:ascii="Times New Roman" w:hAnsi="Times New Roman"/>
                <w:i/>
                <w:szCs w:val="24"/>
              </w:rPr>
              <w:t>-$</w:t>
            </w:r>
            <w:r w:rsidR="00130F40">
              <w:rPr>
                <w:rFonts w:ascii="Times New Roman" w:hAnsi="Times New Roman"/>
                <w:i/>
                <w:szCs w:val="24"/>
              </w:rPr>
              <w:t>165</w:t>
            </w:r>
            <w:r w:rsidR="003E3DAE">
              <w:rPr>
                <w:rFonts w:ascii="Times New Roman" w:hAnsi="Times New Roman"/>
                <w:i/>
                <w:szCs w:val="24"/>
              </w:rPr>
              <w:t>,</w:t>
            </w:r>
            <w:r w:rsidR="00130F40">
              <w:rPr>
                <w:rFonts w:ascii="Times New Roman" w:hAnsi="Times New Roman"/>
                <w:i/>
                <w:szCs w:val="24"/>
              </w:rPr>
              <w:t>00</w:t>
            </w:r>
            <w:r w:rsidR="003E3DAE">
              <w:rPr>
                <w:rFonts w:ascii="Times New Roman" w:hAnsi="Times New Roman"/>
                <w:i/>
                <w:szCs w:val="24"/>
              </w:rPr>
              <w:t>0</w:t>
            </w:r>
            <w:r w:rsidR="007F24C8">
              <w:rPr>
                <w:rFonts w:ascii="Times New Roman" w:hAnsi="Times New Roman"/>
                <w:i/>
                <w:szCs w:val="24"/>
              </w:rPr>
              <w:t>)</w:t>
            </w:r>
            <w:r>
              <w:rPr>
                <w:rFonts w:ascii="Times New Roman" w:hAnsi="Times New Roman"/>
                <w:i/>
                <w:szCs w:val="24"/>
              </w:rPr>
              <w:t xml:space="preserve"> of Ron and Anne’s $401,000 of ordinary income is taxed at 2</w:t>
            </w:r>
            <w:r w:rsidR="00130F40">
              <w:rPr>
                <w:rFonts w:ascii="Times New Roman" w:hAnsi="Times New Roman"/>
                <w:i/>
                <w:szCs w:val="24"/>
              </w:rPr>
              <w:t>4</w:t>
            </w:r>
            <w:r>
              <w:rPr>
                <w:rFonts w:ascii="Times New Roman" w:hAnsi="Times New Roman"/>
                <w:i/>
                <w:szCs w:val="24"/>
              </w:rPr>
              <w:t>%</w:t>
            </w:r>
          </w:p>
        </w:tc>
      </w:tr>
      <w:tr w:rsidR="00130F40" w:rsidRPr="00724467" w14:paraId="26182580" w14:textId="77777777" w:rsidTr="00CF531D">
        <w:trPr>
          <w:jc w:val="center"/>
        </w:trPr>
        <w:tc>
          <w:tcPr>
            <w:tcW w:w="0" w:type="auto"/>
            <w:shd w:val="clear" w:color="auto" w:fill="auto"/>
          </w:tcPr>
          <w:p w14:paraId="4628D95B" w14:textId="693D0334" w:rsidR="00CF531D" w:rsidRPr="00724467" w:rsidRDefault="00CF531D">
            <w:pPr>
              <w:pStyle w:val="HangingIndent3"/>
              <w:spacing w:after="0"/>
              <w:ind w:left="0" w:firstLine="0"/>
              <w:rPr>
                <w:rFonts w:ascii="Times New Roman" w:hAnsi="Times New Roman"/>
                <w:i/>
                <w:szCs w:val="24"/>
              </w:rPr>
            </w:pPr>
            <w:r>
              <w:rPr>
                <w:rFonts w:ascii="Times New Roman" w:hAnsi="Times New Roman"/>
                <w:i/>
                <w:szCs w:val="24"/>
              </w:rPr>
              <w:t>$</w:t>
            </w:r>
            <w:r w:rsidR="00510592">
              <w:rPr>
                <w:rFonts w:ascii="Times New Roman" w:hAnsi="Times New Roman"/>
                <w:i/>
                <w:szCs w:val="24"/>
              </w:rPr>
              <w:t>85</w:t>
            </w:r>
            <w:r w:rsidR="006B18B3">
              <w:rPr>
                <w:rFonts w:ascii="Times New Roman" w:hAnsi="Times New Roman"/>
                <w:i/>
                <w:szCs w:val="24"/>
              </w:rPr>
              <w:t>,</w:t>
            </w:r>
            <w:r w:rsidR="00130F40">
              <w:rPr>
                <w:rFonts w:ascii="Times New Roman" w:hAnsi="Times New Roman"/>
                <w:i/>
                <w:szCs w:val="24"/>
              </w:rPr>
              <w:t>0</w:t>
            </w:r>
            <w:r w:rsidR="006B18B3">
              <w:rPr>
                <w:rFonts w:ascii="Times New Roman" w:hAnsi="Times New Roman"/>
                <w:i/>
                <w:szCs w:val="24"/>
              </w:rPr>
              <w:t>00</w:t>
            </w:r>
          </w:p>
        </w:tc>
        <w:tc>
          <w:tcPr>
            <w:tcW w:w="0" w:type="auto"/>
            <w:shd w:val="clear" w:color="auto" w:fill="auto"/>
          </w:tcPr>
          <w:p w14:paraId="2827520D" w14:textId="64B0D714" w:rsidR="00CF531D" w:rsidRPr="00724467" w:rsidRDefault="00130F40" w:rsidP="000A6D89">
            <w:pPr>
              <w:pStyle w:val="HangingIndent3"/>
              <w:spacing w:after="0"/>
              <w:ind w:left="0" w:firstLine="0"/>
              <w:jc w:val="center"/>
              <w:rPr>
                <w:rFonts w:ascii="Times New Roman" w:hAnsi="Times New Roman"/>
                <w:i/>
                <w:szCs w:val="24"/>
              </w:rPr>
            </w:pPr>
            <w:r>
              <w:rPr>
                <w:rFonts w:ascii="Times New Roman" w:hAnsi="Times New Roman"/>
                <w:i/>
                <w:szCs w:val="24"/>
              </w:rPr>
              <w:t>32</w:t>
            </w:r>
            <w:r w:rsidR="00CF531D">
              <w:rPr>
                <w:rFonts w:ascii="Times New Roman" w:hAnsi="Times New Roman"/>
                <w:i/>
                <w:szCs w:val="24"/>
              </w:rPr>
              <w:t>%</w:t>
            </w:r>
          </w:p>
        </w:tc>
        <w:tc>
          <w:tcPr>
            <w:tcW w:w="0" w:type="auto"/>
            <w:shd w:val="clear" w:color="auto" w:fill="auto"/>
          </w:tcPr>
          <w:p w14:paraId="078375F9" w14:textId="133A586A" w:rsidR="00CF531D" w:rsidRPr="00724467" w:rsidRDefault="00CF531D">
            <w:pPr>
              <w:pStyle w:val="HangingIndent3"/>
              <w:spacing w:after="0"/>
              <w:ind w:left="0" w:firstLine="0"/>
              <w:jc w:val="right"/>
              <w:rPr>
                <w:rFonts w:ascii="Times New Roman" w:hAnsi="Times New Roman"/>
                <w:i/>
                <w:szCs w:val="24"/>
              </w:rPr>
            </w:pPr>
            <w:r>
              <w:rPr>
                <w:rFonts w:ascii="Times New Roman" w:hAnsi="Times New Roman"/>
                <w:i/>
                <w:szCs w:val="24"/>
              </w:rPr>
              <w:t>$</w:t>
            </w:r>
            <w:r w:rsidR="00510592">
              <w:rPr>
                <w:rFonts w:ascii="Times New Roman" w:hAnsi="Times New Roman"/>
                <w:i/>
                <w:szCs w:val="24"/>
              </w:rPr>
              <w:t>27,200</w:t>
            </w:r>
          </w:p>
        </w:tc>
        <w:tc>
          <w:tcPr>
            <w:tcW w:w="0" w:type="auto"/>
            <w:shd w:val="clear" w:color="auto" w:fill="auto"/>
          </w:tcPr>
          <w:p w14:paraId="59517C3D" w14:textId="41E122C7" w:rsidR="00CF531D" w:rsidRPr="00724467" w:rsidRDefault="00CF531D">
            <w:pPr>
              <w:pStyle w:val="HangingIndent3"/>
              <w:spacing w:after="60"/>
              <w:ind w:left="0" w:firstLine="0"/>
              <w:rPr>
                <w:rFonts w:ascii="Times New Roman" w:hAnsi="Times New Roman"/>
                <w:i/>
                <w:szCs w:val="24"/>
              </w:rPr>
            </w:pPr>
            <w:r>
              <w:rPr>
                <w:rFonts w:ascii="Times New Roman" w:hAnsi="Times New Roman"/>
                <w:i/>
                <w:szCs w:val="24"/>
              </w:rPr>
              <w:t xml:space="preserve">The </w:t>
            </w:r>
            <w:r w:rsidR="00130F40">
              <w:rPr>
                <w:rFonts w:ascii="Times New Roman" w:hAnsi="Times New Roman"/>
                <w:i/>
                <w:szCs w:val="24"/>
              </w:rPr>
              <w:t xml:space="preserve">next </w:t>
            </w:r>
            <w:r>
              <w:rPr>
                <w:rFonts w:ascii="Times New Roman" w:hAnsi="Times New Roman"/>
                <w:i/>
                <w:szCs w:val="24"/>
              </w:rPr>
              <w:t>$</w:t>
            </w:r>
            <w:r w:rsidR="00510592">
              <w:rPr>
                <w:rFonts w:ascii="Times New Roman" w:hAnsi="Times New Roman"/>
                <w:i/>
                <w:szCs w:val="24"/>
              </w:rPr>
              <w:t>85</w:t>
            </w:r>
            <w:r w:rsidR="006B18B3">
              <w:rPr>
                <w:rFonts w:ascii="Times New Roman" w:hAnsi="Times New Roman"/>
                <w:i/>
                <w:szCs w:val="24"/>
              </w:rPr>
              <w:t>,0</w:t>
            </w:r>
            <w:r w:rsidR="00130F40">
              <w:rPr>
                <w:rFonts w:ascii="Times New Roman" w:hAnsi="Times New Roman"/>
                <w:i/>
                <w:szCs w:val="24"/>
              </w:rPr>
              <w:t>0</w:t>
            </w:r>
            <w:r w:rsidR="006B18B3">
              <w:rPr>
                <w:rFonts w:ascii="Times New Roman" w:hAnsi="Times New Roman"/>
                <w:i/>
                <w:szCs w:val="24"/>
              </w:rPr>
              <w:t>0</w:t>
            </w:r>
            <w:r w:rsidR="007F24C8">
              <w:rPr>
                <w:rFonts w:ascii="Times New Roman" w:hAnsi="Times New Roman"/>
                <w:i/>
                <w:szCs w:val="24"/>
              </w:rPr>
              <w:t xml:space="preserve"> ($</w:t>
            </w:r>
            <w:r w:rsidR="00DA4337">
              <w:rPr>
                <w:rFonts w:ascii="Times New Roman" w:hAnsi="Times New Roman"/>
                <w:i/>
                <w:szCs w:val="24"/>
              </w:rPr>
              <w:t>40</w:t>
            </w:r>
            <w:r w:rsidR="00130F40">
              <w:rPr>
                <w:rFonts w:ascii="Times New Roman" w:hAnsi="Times New Roman"/>
                <w:i/>
                <w:szCs w:val="24"/>
              </w:rPr>
              <w:t>0</w:t>
            </w:r>
            <w:r w:rsidR="00DA4337">
              <w:rPr>
                <w:rFonts w:ascii="Times New Roman" w:hAnsi="Times New Roman"/>
                <w:i/>
                <w:szCs w:val="24"/>
              </w:rPr>
              <w:t>,000</w:t>
            </w:r>
            <w:r w:rsidR="003E02A5">
              <w:rPr>
                <w:rFonts w:ascii="Times New Roman" w:hAnsi="Times New Roman"/>
                <w:i/>
                <w:szCs w:val="24"/>
              </w:rPr>
              <w:t xml:space="preserve"> </w:t>
            </w:r>
            <w:r w:rsidR="007F24C8">
              <w:rPr>
                <w:rFonts w:ascii="Times New Roman" w:hAnsi="Times New Roman"/>
                <w:i/>
                <w:szCs w:val="24"/>
              </w:rPr>
              <w:t>-</w:t>
            </w:r>
            <w:r w:rsidR="003E02A5">
              <w:rPr>
                <w:rFonts w:ascii="Times New Roman" w:hAnsi="Times New Roman"/>
                <w:i/>
                <w:szCs w:val="24"/>
              </w:rPr>
              <w:t xml:space="preserve"> </w:t>
            </w:r>
            <w:r w:rsidR="007F24C8">
              <w:rPr>
                <w:rFonts w:ascii="Times New Roman" w:hAnsi="Times New Roman"/>
                <w:i/>
                <w:szCs w:val="24"/>
              </w:rPr>
              <w:t>$</w:t>
            </w:r>
            <w:r w:rsidR="00130F40">
              <w:rPr>
                <w:rFonts w:ascii="Times New Roman" w:hAnsi="Times New Roman"/>
                <w:i/>
                <w:szCs w:val="24"/>
              </w:rPr>
              <w:t>315</w:t>
            </w:r>
            <w:r w:rsidR="006B18B3">
              <w:rPr>
                <w:rFonts w:ascii="Times New Roman" w:hAnsi="Times New Roman"/>
                <w:i/>
                <w:szCs w:val="24"/>
              </w:rPr>
              <w:t>,</w:t>
            </w:r>
            <w:r w:rsidR="00130F40">
              <w:rPr>
                <w:rFonts w:ascii="Times New Roman" w:hAnsi="Times New Roman"/>
                <w:i/>
                <w:szCs w:val="24"/>
              </w:rPr>
              <w:t>00</w:t>
            </w:r>
            <w:r w:rsidR="006B18B3">
              <w:rPr>
                <w:rFonts w:ascii="Times New Roman" w:hAnsi="Times New Roman"/>
                <w:i/>
                <w:szCs w:val="24"/>
              </w:rPr>
              <w:t>0</w:t>
            </w:r>
            <w:r w:rsidR="007F24C8">
              <w:rPr>
                <w:rFonts w:ascii="Times New Roman" w:hAnsi="Times New Roman"/>
                <w:i/>
                <w:szCs w:val="24"/>
              </w:rPr>
              <w:t>)</w:t>
            </w:r>
            <w:r>
              <w:rPr>
                <w:rFonts w:ascii="Times New Roman" w:hAnsi="Times New Roman"/>
                <w:i/>
                <w:szCs w:val="24"/>
              </w:rPr>
              <w:t xml:space="preserve"> of Ron and Anne’s $401,000 ordinary income is taxed at 3</w:t>
            </w:r>
            <w:r w:rsidR="00130F40">
              <w:rPr>
                <w:rFonts w:ascii="Times New Roman" w:hAnsi="Times New Roman"/>
                <w:i/>
                <w:szCs w:val="24"/>
              </w:rPr>
              <w:t>2</w:t>
            </w:r>
            <w:r>
              <w:rPr>
                <w:rFonts w:ascii="Times New Roman" w:hAnsi="Times New Roman"/>
                <w:i/>
                <w:szCs w:val="24"/>
              </w:rPr>
              <w:t>%.</w:t>
            </w:r>
          </w:p>
        </w:tc>
      </w:tr>
      <w:tr w:rsidR="00130F40" w:rsidRPr="00724467" w14:paraId="5A4EA291" w14:textId="77777777" w:rsidTr="000C1A4C">
        <w:trPr>
          <w:jc w:val="center"/>
        </w:trPr>
        <w:tc>
          <w:tcPr>
            <w:tcW w:w="0" w:type="auto"/>
          </w:tcPr>
          <w:p w14:paraId="1A7951D6" w14:textId="06AB3B63" w:rsidR="00130F40" w:rsidRPr="00724467" w:rsidRDefault="00130F40" w:rsidP="000C1A4C">
            <w:pPr>
              <w:pStyle w:val="HangingIndent3"/>
              <w:spacing w:after="0"/>
              <w:ind w:left="0" w:firstLine="0"/>
              <w:rPr>
                <w:rFonts w:ascii="Times New Roman" w:hAnsi="Times New Roman"/>
                <w:i/>
                <w:szCs w:val="24"/>
              </w:rPr>
            </w:pPr>
            <w:r>
              <w:rPr>
                <w:rFonts w:ascii="Times New Roman" w:hAnsi="Times New Roman"/>
                <w:i/>
                <w:szCs w:val="24"/>
              </w:rPr>
              <w:t>$1,000</w:t>
            </w:r>
          </w:p>
        </w:tc>
        <w:tc>
          <w:tcPr>
            <w:tcW w:w="0" w:type="auto"/>
          </w:tcPr>
          <w:p w14:paraId="3B454267" w14:textId="5AF82EB1" w:rsidR="00130F40" w:rsidRPr="00724467" w:rsidRDefault="00130F40" w:rsidP="000C1A4C">
            <w:pPr>
              <w:pStyle w:val="HangingIndent3"/>
              <w:spacing w:after="0"/>
              <w:ind w:left="0" w:firstLine="0"/>
              <w:jc w:val="center"/>
              <w:rPr>
                <w:rFonts w:ascii="Times New Roman" w:hAnsi="Times New Roman"/>
                <w:i/>
                <w:szCs w:val="24"/>
              </w:rPr>
            </w:pPr>
            <w:r>
              <w:rPr>
                <w:rFonts w:ascii="Times New Roman" w:hAnsi="Times New Roman"/>
                <w:i/>
                <w:szCs w:val="24"/>
              </w:rPr>
              <w:t>35%</w:t>
            </w:r>
          </w:p>
        </w:tc>
        <w:tc>
          <w:tcPr>
            <w:tcW w:w="0" w:type="auto"/>
          </w:tcPr>
          <w:p w14:paraId="6B114414" w14:textId="00D1BB2C" w:rsidR="00130F40" w:rsidRPr="00724467" w:rsidRDefault="00130F40" w:rsidP="000C1A4C">
            <w:pPr>
              <w:pStyle w:val="HangingIndent3"/>
              <w:spacing w:after="0"/>
              <w:ind w:left="0" w:firstLine="0"/>
              <w:jc w:val="right"/>
              <w:rPr>
                <w:rFonts w:ascii="Times New Roman" w:hAnsi="Times New Roman"/>
                <w:i/>
                <w:szCs w:val="24"/>
              </w:rPr>
            </w:pPr>
            <w:r>
              <w:rPr>
                <w:rFonts w:ascii="Times New Roman" w:hAnsi="Times New Roman"/>
                <w:i/>
                <w:szCs w:val="24"/>
              </w:rPr>
              <w:t>$350</w:t>
            </w:r>
          </w:p>
        </w:tc>
        <w:tc>
          <w:tcPr>
            <w:tcW w:w="0" w:type="auto"/>
          </w:tcPr>
          <w:p w14:paraId="106DAB3B" w14:textId="01914169" w:rsidR="00130F40" w:rsidRPr="00724467" w:rsidRDefault="00130F40" w:rsidP="000C1A4C">
            <w:pPr>
              <w:pStyle w:val="HangingIndent3"/>
              <w:spacing w:after="60"/>
              <w:ind w:left="0" w:firstLine="0"/>
              <w:rPr>
                <w:rFonts w:ascii="Times New Roman" w:hAnsi="Times New Roman"/>
                <w:i/>
                <w:szCs w:val="24"/>
              </w:rPr>
            </w:pPr>
            <w:r>
              <w:rPr>
                <w:rFonts w:ascii="Times New Roman" w:hAnsi="Times New Roman"/>
                <w:i/>
                <w:szCs w:val="24"/>
              </w:rPr>
              <w:t>The remaining $1,000 ($401,000 - $400,000) of Ron and Anne’s $401,000 ordinary income is taxed at 35%.</w:t>
            </w:r>
          </w:p>
        </w:tc>
      </w:tr>
      <w:tr w:rsidR="00130F40" w:rsidRPr="00724467" w14:paraId="3BAB7E8E" w14:textId="77777777" w:rsidTr="00724467">
        <w:trPr>
          <w:jc w:val="center"/>
        </w:trPr>
        <w:tc>
          <w:tcPr>
            <w:tcW w:w="0" w:type="auto"/>
          </w:tcPr>
          <w:p w14:paraId="37FA486E" w14:textId="1747A748" w:rsidR="00CF531D" w:rsidRPr="00724467" w:rsidRDefault="00CF531D">
            <w:pPr>
              <w:pStyle w:val="HangingIndent3"/>
              <w:spacing w:after="0"/>
              <w:ind w:left="0" w:firstLine="0"/>
              <w:rPr>
                <w:rFonts w:ascii="Times New Roman" w:hAnsi="Times New Roman"/>
                <w:i/>
                <w:szCs w:val="24"/>
              </w:rPr>
            </w:pPr>
            <w:r>
              <w:rPr>
                <w:rFonts w:ascii="Times New Roman" w:hAnsi="Times New Roman"/>
                <w:i/>
                <w:szCs w:val="24"/>
              </w:rPr>
              <w:t>$</w:t>
            </w:r>
            <w:r w:rsidR="0045594E">
              <w:rPr>
                <w:rFonts w:ascii="Times New Roman" w:hAnsi="Times New Roman"/>
                <w:i/>
                <w:szCs w:val="24"/>
              </w:rPr>
              <w:t>78</w:t>
            </w:r>
            <w:r w:rsidR="00130F40">
              <w:rPr>
                <w:rFonts w:ascii="Times New Roman" w:hAnsi="Times New Roman"/>
                <w:i/>
                <w:szCs w:val="24"/>
              </w:rPr>
              <w:t>,000</w:t>
            </w:r>
            <w:r>
              <w:rPr>
                <w:rFonts w:ascii="Times New Roman" w:hAnsi="Times New Roman"/>
                <w:i/>
                <w:szCs w:val="24"/>
              </w:rPr>
              <w:t xml:space="preserve">; </w:t>
            </w:r>
            <w:r w:rsidR="00801F2C">
              <w:rPr>
                <w:rFonts w:ascii="Times New Roman" w:hAnsi="Times New Roman"/>
                <w:i/>
                <w:szCs w:val="24"/>
              </w:rPr>
              <w:t>0/15/</w:t>
            </w:r>
            <w:r>
              <w:rPr>
                <w:rFonts w:ascii="Times New Roman" w:hAnsi="Times New Roman"/>
                <w:i/>
                <w:szCs w:val="24"/>
              </w:rPr>
              <w:t>20% rate capital gains</w:t>
            </w:r>
          </w:p>
        </w:tc>
        <w:tc>
          <w:tcPr>
            <w:tcW w:w="0" w:type="auto"/>
          </w:tcPr>
          <w:p w14:paraId="17B9873E" w14:textId="77777777" w:rsidR="00CF531D" w:rsidRPr="00724467" w:rsidRDefault="00CF531D" w:rsidP="000A6D89">
            <w:pPr>
              <w:pStyle w:val="HangingIndent3"/>
              <w:spacing w:after="0"/>
              <w:ind w:left="0" w:firstLine="0"/>
              <w:jc w:val="center"/>
              <w:rPr>
                <w:rFonts w:ascii="Times New Roman" w:hAnsi="Times New Roman"/>
                <w:i/>
                <w:szCs w:val="24"/>
              </w:rPr>
            </w:pPr>
            <w:r>
              <w:rPr>
                <w:rFonts w:ascii="Times New Roman" w:hAnsi="Times New Roman"/>
                <w:i/>
                <w:szCs w:val="24"/>
              </w:rPr>
              <w:t>15%</w:t>
            </w:r>
          </w:p>
        </w:tc>
        <w:tc>
          <w:tcPr>
            <w:tcW w:w="0" w:type="auto"/>
          </w:tcPr>
          <w:p w14:paraId="438622D9" w14:textId="36249C63" w:rsidR="00CF531D" w:rsidRPr="00B204C7" w:rsidRDefault="00CF531D">
            <w:pPr>
              <w:pStyle w:val="HangingIndent3"/>
              <w:spacing w:after="0"/>
              <w:ind w:left="0" w:firstLine="0"/>
              <w:jc w:val="right"/>
              <w:rPr>
                <w:rFonts w:ascii="Times New Roman" w:hAnsi="Times New Roman"/>
                <w:i/>
                <w:szCs w:val="24"/>
              </w:rPr>
            </w:pPr>
            <w:r w:rsidRPr="00B204C7">
              <w:rPr>
                <w:rFonts w:ascii="Times New Roman" w:hAnsi="Times New Roman"/>
                <w:i/>
                <w:szCs w:val="24"/>
              </w:rPr>
              <w:t>$</w:t>
            </w:r>
            <w:r w:rsidR="0045594E">
              <w:rPr>
                <w:rFonts w:ascii="Times New Roman" w:hAnsi="Times New Roman"/>
                <w:i/>
                <w:szCs w:val="24"/>
              </w:rPr>
              <w:t>11,700</w:t>
            </w:r>
          </w:p>
        </w:tc>
        <w:tc>
          <w:tcPr>
            <w:tcW w:w="0" w:type="auto"/>
          </w:tcPr>
          <w:p w14:paraId="0BF3CA0F" w14:textId="7B899D40" w:rsidR="00B204C7" w:rsidRPr="00344878" w:rsidRDefault="00B204C7" w:rsidP="00B204C7">
            <w:pPr>
              <w:pStyle w:val="HangingIndent3"/>
              <w:spacing w:after="60"/>
              <w:ind w:left="0" w:firstLine="0"/>
              <w:rPr>
                <w:rFonts w:ascii="Times New Roman" w:hAnsi="Times New Roman"/>
                <w:i/>
                <w:szCs w:val="24"/>
              </w:rPr>
            </w:pPr>
            <w:r w:rsidRPr="00344878">
              <w:rPr>
                <w:rFonts w:ascii="Times New Roman" w:hAnsi="Times New Roman"/>
                <w:i/>
                <w:szCs w:val="24"/>
              </w:rPr>
              <w:t>$</w:t>
            </w:r>
            <w:r w:rsidR="0045594E">
              <w:rPr>
                <w:rFonts w:ascii="Times New Roman" w:hAnsi="Times New Roman"/>
                <w:i/>
                <w:szCs w:val="24"/>
              </w:rPr>
              <w:t>78</w:t>
            </w:r>
            <w:r w:rsidR="00130F40">
              <w:rPr>
                <w:rFonts w:ascii="Times New Roman" w:hAnsi="Times New Roman"/>
                <w:i/>
                <w:szCs w:val="24"/>
              </w:rPr>
              <w:t>,000</w:t>
            </w:r>
            <w:r w:rsidRPr="00344878">
              <w:rPr>
                <w:rFonts w:ascii="Times New Roman" w:hAnsi="Times New Roman"/>
                <w:i/>
                <w:szCs w:val="24"/>
              </w:rPr>
              <w:t xml:space="preserve"> </w:t>
            </w:r>
            <w:r>
              <w:rPr>
                <w:rFonts w:ascii="Times New Roman" w:hAnsi="Times New Roman"/>
                <w:i/>
                <w:szCs w:val="24"/>
              </w:rPr>
              <w:t>×</w:t>
            </w:r>
            <w:r w:rsidRPr="00344878">
              <w:rPr>
                <w:rFonts w:ascii="Times New Roman" w:hAnsi="Times New Roman"/>
                <w:i/>
                <w:szCs w:val="24"/>
              </w:rPr>
              <w:t xml:space="preserve"> </w:t>
            </w:r>
            <w:r>
              <w:rPr>
                <w:rFonts w:ascii="Times New Roman" w:hAnsi="Times New Roman"/>
                <w:i/>
                <w:szCs w:val="24"/>
              </w:rPr>
              <w:t>15</w:t>
            </w:r>
            <w:r w:rsidRPr="00344878">
              <w:rPr>
                <w:rFonts w:ascii="Times New Roman" w:hAnsi="Times New Roman"/>
                <w:i/>
                <w:szCs w:val="24"/>
              </w:rPr>
              <w:t>%</w:t>
            </w:r>
          </w:p>
          <w:p w14:paraId="229B5228" w14:textId="2C7A7D2C" w:rsidR="00CF531D" w:rsidRPr="00724467" w:rsidRDefault="00B204C7">
            <w:pPr>
              <w:pStyle w:val="HangingIndent3"/>
              <w:spacing w:after="60"/>
              <w:ind w:left="0" w:firstLine="0"/>
              <w:rPr>
                <w:rFonts w:ascii="Times New Roman" w:hAnsi="Times New Roman"/>
                <w:i/>
                <w:szCs w:val="24"/>
              </w:rPr>
            </w:pPr>
            <w:r w:rsidRPr="00344878">
              <w:rPr>
                <w:rFonts w:ascii="Times New Roman" w:hAnsi="Times New Roman"/>
                <w:i/>
                <w:szCs w:val="24"/>
              </w:rPr>
              <w:t>$</w:t>
            </w:r>
            <w:r w:rsidR="0045594E">
              <w:rPr>
                <w:rFonts w:ascii="Times New Roman" w:hAnsi="Times New Roman"/>
                <w:i/>
                <w:szCs w:val="24"/>
              </w:rPr>
              <w:t>78</w:t>
            </w:r>
            <w:r w:rsidR="006B18B3">
              <w:rPr>
                <w:rFonts w:ascii="Times New Roman" w:hAnsi="Times New Roman"/>
                <w:i/>
                <w:szCs w:val="24"/>
              </w:rPr>
              <w:t>,0</w:t>
            </w:r>
            <w:r w:rsidR="00130F40">
              <w:rPr>
                <w:rFonts w:ascii="Times New Roman" w:hAnsi="Times New Roman"/>
                <w:i/>
                <w:szCs w:val="24"/>
              </w:rPr>
              <w:t>0</w:t>
            </w:r>
            <w:r w:rsidR="006B18B3">
              <w:rPr>
                <w:rFonts w:ascii="Times New Roman" w:hAnsi="Times New Roman"/>
                <w:i/>
                <w:szCs w:val="24"/>
              </w:rPr>
              <w:t>0</w:t>
            </w:r>
            <w:r>
              <w:rPr>
                <w:rFonts w:ascii="Times New Roman" w:hAnsi="Times New Roman"/>
                <w:i/>
                <w:szCs w:val="24"/>
              </w:rPr>
              <w:t xml:space="preserve"> </w:t>
            </w:r>
            <w:r w:rsidRPr="00344878">
              <w:rPr>
                <w:rFonts w:ascii="Times New Roman" w:hAnsi="Times New Roman"/>
                <w:i/>
                <w:szCs w:val="24"/>
              </w:rPr>
              <w:t>($</w:t>
            </w:r>
            <w:r w:rsidR="00130F40">
              <w:rPr>
                <w:rFonts w:ascii="Times New Roman" w:hAnsi="Times New Roman"/>
                <w:i/>
                <w:szCs w:val="24"/>
              </w:rPr>
              <w:t>479</w:t>
            </w:r>
            <w:r w:rsidR="006B18B3">
              <w:rPr>
                <w:rFonts w:ascii="Times New Roman" w:hAnsi="Times New Roman"/>
                <w:i/>
                <w:szCs w:val="24"/>
              </w:rPr>
              <w:t>,</w:t>
            </w:r>
            <w:r w:rsidR="00130F40">
              <w:rPr>
                <w:rFonts w:ascii="Times New Roman" w:hAnsi="Times New Roman"/>
                <w:i/>
                <w:szCs w:val="24"/>
              </w:rPr>
              <w:t>0</w:t>
            </w:r>
            <w:r w:rsidR="006B18B3">
              <w:rPr>
                <w:rFonts w:ascii="Times New Roman" w:hAnsi="Times New Roman"/>
                <w:i/>
                <w:szCs w:val="24"/>
              </w:rPr>
              <w:t>0</w:t>
            </w:r>
            <w:r w:rsidR="00130F40">
              <w:rPr>
                <w:rFonts w:ascii="Times New Roman" w:hAnsi="Times New Roman"/>
                <w:i/>
                <w:szCs w:val="24"/>
              </w:rPr>
              <w:t>0</w:t>
            </w:r>
            <w:r w:rsidRPr="00344878">
              <w:rPr>
                <w:rFonts w:ascii="Times New Roman" w:hAnsi="Times New Roman"/>
                <w:i/>
                <w:szCs w:val="24"/>
              </w:rPr>
              <w:t xml:space="preserve"> - $</w:t>
            </w:r>
            <w:r>
              <w:rPr>
                <w:rFonts w:ascii="Times New Roman" w:hAnsi="Times New Roman"/>
                <w:i/>
                <w:szCs w:val="24"/>
              </w:rPr>
              <w:t>401</w:t>
            </w:r>
            <w:r w:rsidRPr="00344878">
              <w:rPr>
                <w:rFonts w:ascii="Times New Roman" w:hAnsi="Times New Roman"/>
                <w:i/>
                <w:szCs w:val="24"/>
              </w:rPr>
              <w:t xml:space="preserve">,000 ordinary income) of </w:t>
            </w:r>
            <w:r w:rsidR="00801F2C">
              <w:rPr>
                <w:rFonts w:ascii="Times New Roman" w:hAnsi="Times New Roman"/>
                <w:i/>
                <w:szCs w:val="24"/>
              </w:rPr>
              <w:t>0/15/</w:t>
            </w:r>
            <w:r>
              <w:rPr>
                <w:rFonts w:ascii="Times New Roman" w:hAnsi="Times New Roman"/>
                <w:i/>
                <w:szCs w:val="24"/>
              </w:rPr>
              <w:t>20</w:t>
            </w:r>
            <w:r w:rsidRPr="00344878">
              <w:rPr>
                <w:rFonts w:ascii="Times New Roman" w:hAnsi="Times New Roman"/>
                <w:i/>
                <w:szCs w:val="24"/>
              </w:rPr>
              <w:t xml:space="preserve">% rate capital gain fits </w:t>
            </w:r>
            <w:r w:rsidR="00130F40">
              <w:rPr>
                <w:rFonts w:ascii="Times New Roman" w:hAnsi="Times New Roman"/>
                <w:i/>
                <w:szCs w:val="24"/>
              </w:rPr>
              <w:t>below the maximum 15-percent rate amount ($479,000),</w:t>
            </w:r>
            <w:r w:rsidRPr="00344878">
              <w:rPr>
                <w:rFonts w:ascii="Times New Roman" w:hAnsi="Times New Roman"/>
                <w:i/>
                <w:szCs w:val="24"/>
              </w:rPr>
              <w:t xml:space="preserve"> so it is taxed at </w:t>
            </w:r>
            <w:r>
              <w:rPr>
                <w:rFonts w:ascii="Times New Roman" w:hAnsi="Times New Roman"/>
                <w:i/>
                <w:szCs w:val="24"/>
              </w:rPr>
              <w:t>15</w:t>
            </w:r>
            <w:r w:rsidRPr="00344878">
              <w:rPr>
                <w:rFonts w:ascii="Times New Roman" w:hAnsi="Times New Roman"/>
                <w:i/>
                <w:szCs w:val="24"/>
              </w:rPr>
              <w:t>%.</w:t>
            </w:r>
          </w:p>
        </w:tc>
      </w:tr>
      <w:tr w:rsidR="00130F40" w:rsidRPr="00724467" w14:paraId="7BF38F6F" w14:textId="77777777" w:rsidTr="00E42B57">
        <w:trPr>
          <w:jc w:val="center"/>
        </w:trPr>
        <w:tc>
          <w:tcPr>
            <w:tcW w:w="0" w:type="auto"/>
          </w:tcPr>
          <w:p w14:paraId="3D22E600" w14:textId="4CCDE731" w:rsidR="00745022" w:rsidRPr="00724467" w:rsidRDefault="00745022" w:rsidP="000A6D89">
            <w:pPr>
              <w:pStyle w:val="HangingIndent3"/>
              <w:spacing w:after="0"/>
              <w:ind w:left="0" w:firstLine="0"/>
              <w:rPr>
                <w:rFonts w:ascii="Times New Roman" w:hAnsi="Times New Roman"/>
                <w:i/>
                <w:szCs w:val="24"/>
              </w:rPr>
            </w:pPr>
            <w:r w:rsidRPr="00724467">
              <w:rPr>
                <w:rFonts w:ascii="Times New Roman" w:hAnsi="Times New Roman"/>
                <w:i/>
                <w:szCs w:val="24"/>
              </w:rPr>
              <w:t>$</w:t>
            </w:r>
            <w:r w:rsidR="00130F40">
              <w:rPr>
                <w:rFonts w:ascii="Times New Roman" w:hAnsi="Times New Roman"/>
                <w:i/>
                <w:szCs w:val="24"/>
              </w:rPr>
              <w:t>1</w:t>
            </w:r>
            <w:r w:rsidR="0045594E">
              <w:rPr>
                <w:rFonts w:ascii="Times New Roman" w:hAnsi="Times New Roman"/>
                <w:i/>
                <w:szCs w:val="24"/>
              </w:rPr>
              <w:t>00</w:t>
            </w:r>
            <w:r w:rsidR="006B18B3">
              <w:rPr>
                <w:rFonts w:ascii="Times New Roman" w:hAnsi="Times New Roman"/>
                <w:i/>
                <w:szCs w:val="24"/>
              </w:rPr>
              <w:t>,</w:t>
            </w:r>
            <w:r w:rsidR="00130F40">
              <w:rPr>
                <w:rFonts w:ascii="Times New Roman" w:hAnsi="Times New Roman"/>
                <w:i/>
                <w:szCs w:val="24"/>
              </w:rPr>
              <w:t>00</w:t>
            </w:r>
            <w:r w:rsidR="006B18B3">
              <w:rPr>
                <w:rFonts w:ascii="Times New Roman" w:hAnsi="Times New Roman"/>
                <w:i/>
                <w:szCs w:val="24"/>
              </w:rPr>
              <w:t>0</w:t>
            </w:r>
            <w:r w:rsidRPr="00724467">
              <w:rPr>
                <w:rFonts w:ascii="Times New Roman" w:hAnsi="Times New Roman"/>
                <w:i/>
                <w:szCs w:val="24"/>
              </w:rPr>
              <w:t>;</w:t>
            </w:r>
          </w:p>
          <w:p w14:paraId="7EDE74B9" w14:textId="77777777" w:rsidR="00745022" w:rsidRPr="00724467" w:rsidRDefault="00801F2C" w:rsidP="000A6D89">
            <w:pPr>
              <w:pStyle w:val="HangingIndent3"/>
              <w:spacing w:after="0"/>
              <w:ind w:left="0" w:firstLine="0"/>
              <w:rPr>
                <w:rFonts w:ascii="Times New Roman" w:hAnsi="Times New Roman"/>
                <w:i/>
                <w:szCs w:val="24"/>
              </w:rPr>
            </w:pPr>
            <w:r>
              <w:rPr>
                <w:rFonts w:ascii="Times New Roman" w:hAnsi="Times New Roman"/>
                <w:i/>
                <w:szCs w:val="24"/>
              </w:rPr>
              <w:t>0/</w:t>
            </w:r>
            <w:r w:rsidR="00745022" w:rsidRPr="00724467">
              <w:rPr>
                <w:rFonts w:ascii="Times New Roman" w:hAnsi="Times New Roman"/>
                <w:i/>
                <w:szCs w:val="24"/>
              </w:rPr>
              <w:t>15</w:t>
            </w:r>
            <w:r>
              <w:rPr>
                <w:rFonts w:ascii="Times New Roman" w:hAnsi="Times New Roman"/>
                <w:i/>
                <w:szCs w:val="24"/>
              </w:rPr>
              <w:t>/20</w:t>
            </w:r>
            <w:r w:rsidR="00745022" w:rsidRPr="00724467">
              <w:rPr>
                <w:rFonts w:ascii="Times New Roman" w:hAnsi="Times New Roman"/>
                <w:i/>
                <w:szCs w:val="24"/>
              </w:rPr>
              <w:t>% rate capital gains</w:t>
            </w:r>
          </w:p>
        </w:tc>
        <w:tc>
          <w:tcPr>
            <w:tcW w:w="0" w:type="auto"/>
          </w:tcPr>
          <w:p w14:paraId="3730DE89" w14:textId="77777777" w:rsidR="00745022" w:rsidRPr="00724467" w:rsidRDefault="00B204C7" w:rsidP="000A6D89">
            <w:pPr>
              <w:pStyle w:val="HangingIndent3"/>
              <w:spacing w:after="0"/>
              <w:ind w:left="0" w:firstLine="0"/>
              <w:jc w:val="center"/>
              <w:rPr>
                <w:rFonts w:ascii="Times New Roman" w:hAnsi="Times New Roman"/>
                <w:i/>
                <w:szCs w:val="24"/>
              </w:rPr>
            </w:pPr>
            <w:r>
              <w:rPr>
                <w:rFonts w:ascii="Times New Roman" w:hAnsi="Times New Roman"/>
                <w:i/>
                <w:szCs w:val="24"/>
              </w:rPr>
              <w:t>20</w:t>
            </w:r>
            <w:r w:rsidR="00745022" w:rsidRPr="00724467">
              <w:rPr>
                <w:rFonts w:ascii="Times New Roman" w:hAnsi="Times New Roman"/>
                <w:i/>
                <w:szCs w:val="24"/>
              </w:rPr>
              <w:t>%</w:t>
            </w:r>
          </w:p>
        </w:tc>
        <w:tc>
          <w:tcPr>
            <w:tcW w:w="0" w:type="auto"/>
          </w:tcPr>
          <w:p w14:paraId="68D5F506" w14:textId="5CFA2BA2" w:rsidR="00745022" w:rsidRPr="000401AB" w:rsidRDefault="00745022">
            <w:pPr>
              <w:pStyle w:val="HangingIndent3"/>
              <w:spacing w:after="0"/>
              <w:ind w:left="0" w:firstLine="0"/>
              <w:jc w:val="right"/>
              <w:rPr>
                <w:rFonts w:ascii="Times New Roman" w:hAnsi="Times New Roman"/>
                <w:i/>
                <w:szCs w:val="24"/>
              </w:rPr>
            </w:pPr>
            <w:r w:rsidRPr="000401AB">
              <w:rPr>
                <w:rFonts w:ascii="Times New Roman" w:hAnsi="Times New Roman"/>
                <w:i/>
                <w:szCs w:val="24"/>
              </w:rPr>
              <w:t>$</w:t>
            </w:r>
            <w:r w:rsidR="006B18B3" w:rsidRPr="000401AB">
              <w:rPr>
                <w:rFonts w:ascii="Times New Roman" w:hAnsi="Times New Roman"/>
                <w:i/>
                <w:szCs w:val="24"/>
              </w:rPr>
              <w:t>2</w:t>
            </w:r>
            <w:r w:rsidR="0045594E">
              <w:rPr>
                <w:rFonts w:ascii="Times New Roman" w:hAnsi="Times New Roman"/>
                <w:i/>
                <w:szCs w:val="24"/>
              </w:rPr>
              <w:t>0</w:t>
            </w:r>
            <w:r w:rsidR="006B18B3" w:rsidRPr="000401AB">
              <w:rPr>
                <w:rFonts w:ascii="Times New Roman" w:hAnsi="Times New Roman"/>
                <w:i/>
                <w:szCs w:val="24"/>
              </w:rPr>
              <w:t>,</w:t>
            </w:r>
            <w:r w:rsidR="0045594E">
              <w:rPr>
                <w:rFonts w:ascii="Times New Roman" w:hAnsi="Times New Roman"/>
                <w:i/>
                <w:szCs w:val="24"/>
              </w:rPr>
              <w:t>0</w:t>
            </w:r>
            <w:r w:rsidR="00130F40" w:rsidRPr="000401AB">
              <w:rPr>
                <w:rFonts w:ascii="Times New Roman" w:hAnsi="Times New Roman"/>
                <w:i/>
                <w:szCs w:val="24"/>
              </w:rPr>
              <w:t>00</w:t>
            </w:r>
          </w:p>
        </w:tc>
        <w:tc>
          <w:tcPr>
            <w:tcW w:w="0" w:type="auto"/>
          </w:tcPr>
          <w:p w14:paraId="7325DD6A" w14:textId="40A474CF" w:rsidR="00745022" w:rsidRDefault="00745022" w:rsidP="00B204C7">
            <w:pPr>
              <w:pStyle w:val="HangingIndent3"/>
              <w:spacing w:after="60"/>
              <w:ind w:left="0" w:firstLine="0"/>
              <w:rPr>
                <w:rFonts w:ascii="Times New Roman" w:hAnsi="Times New Roman"/>
                <w:i/>
                <w:szCs w:val="24"/>
              </w:rPr>
            </w:pPr>
            <w:r w:rsidRPr="00724467">
              <w:rPr>
                <w:rFonts w:ascii="Times New Roman" w:hAnsi="Times New Roman"/>
                <w:i/>
                <w:szCs w:val="24"/>
              </w:rPr>
              <w:t>$</w:t>
            </w:r>
            <w:r w:rsidR="00130F40">
              <w:rPr>
                <w:rFonts w:ascii="Times New Roman" w:hAnsi="Times New Roman"/>
                <w:i/>
                <w:szCs w:val="24"/>
              </w:rPr>
              <w:t>1</w:t>
            </w:r>
            <w:r w:rsidR="0045594E">
              <w:rPr>
                <w:rFonts w:ascii="Times New Roman" w:hAnsi="Times New Roman"/>
                <w:i/>
                <w:szCs w:val="24"/>
              </w:rPr>
              <w:t>00</w:t>
            </w:r>
            <w:r w:rsidR="006B18B3">
              <w:rPr>
                <w:rFonts w:ascii="Times New Roman" w:hAnsi="Times New Roman"/>
                <w:i/>
                <w:szCs w:val="24"/>
              </w:rPr>
              <w:t>,</w:t>
            </w:r>
            <w:r w:rsidR="00130F40">
              <w:rPr>
                <w:rFonts w:ascii="Times New Roman" w:hAnsi="Times New Roman"/>
                <w:i/>
                <w:szCs w:val="24"/>
              </w:rPr>
              <w:t>00</w:t>
            </w:r>
            <w:r w:rsidR="00A91D09">
              <w:rPr>
                <w:rFonts w:ascii="Times New Roman" w:hAnsi="Times New Roman"/>
                <w:i/>
                <w:szCs w:val="24"/>
              </w:rPr>
              <w:t>0</w:t>
            </w:r>
            <w:r w:rsidRPr="00724467">
              <w:rPr>
                <w:rFonts w:ascii="Times New Roman" w:hAnsi="Times New Roman"/>
                <w:i/>
                <w:szCs w:val="24"/>
              </w:rPr>
              <w:t xml:space="preserve"> </w:t>
            </w:r>
            <w:r w:rsidR="00007FF9">
              <w:rPr>
                <w:rFonts w:ascii="Times New Roman" w:hAnsi="Times New Roman"/>
                <w:i/>
                <w:szCs w:val="24"/>
              </w:rPr>
              <w:t>×</w:t>
            </w:r>
            <w:r w:rsidR="00007FF9" w:rsidRPr="00724467">
              <w:rPr>
                <w:rFonts w:ascii="Times New Roman" w:hAnsi="Times New Roman"/>
                <w:i/>
                <w:szCs w:val="24"/>
              </w:rPr>
              <w:t xml:space="preserve"> </w:t>
            </w:r>
            <w:r w:rsidR="00B204C7">
              <w:rPr>
                <w:rFonts w:ascii="Times New Roman" w:hAnsi="Times New Roman"/>
                <w:i/>
                <w:szCs w:val="24"/>
              </w:rPr>
              <w:t>20</w:t>
            </w:r>
            <w:r w:rsidRPr="00724467">
              <w:rPr>
                <w:rFonts w:ascii="Times New Roman" w:hAnsi="Times New Roman"/>
                <w:i/>
                <w:szCs w:val="24"/>
              </w:rPr>
              <w:t>%</w:t>
            </w:r>
          </w:p>
          <w:p w14:paraId="0EAC1D7A" w14:textId="0E2116E8" w:rsidR="00B204C7" w:rsidRPr="00724467" w:rsidRDefault="00B204C7">
            <w:pPr>
              <w:pStyle w:val="HangingIndent3"/>
              <w:spacing w:after="60"/>
              <w:ind w:left="0" w:firstLine="0"/>
              <w:rPr>
                <w:rFonts w:ascii="Times New Roman" w:hAnsi="Times New Roman"/>
                <w:i/>
                <w:szCs w:val="24"/>
              </w:rPr>
            </w:pPr>
            <w:r w:rsidRPr="00344878">
              <w:rPr>
                <w:rFonts w:ascii="Times New Roman" w:hAnsi="Times New Roman"/>
                <w:i/>
                <w:szCs w:val="24"/>
              </w:rPr>
              <w:t>All of the remaining $</w:t>
            </w:r>
            <w:r w:rsidR="00130F40">
              <w:rPr>
                <w:rFonts w:ascii="Times New Roman" w:hAnsi="Times New Roman"/>
                <w:i/>
                <w:szCs w:val="24"/>
              </w:rPr>
              <w:t>133</w:t>
            </w:r>
            <w:r w:rsidR="006B18B3">
              <w:rPr>
                <w:rFonts w:ascii="Times New Roman" w:hAnsi="Times New Roman"/>
                <w:i/>
                <w:szCs w:val="24"/>
              </w:rPr>
              <w:t>,</w:t>
            </w:r>
            <w:r w:rsidR="00130F40">
              <w:rPr>
                <w:rFonts w:ascii="Times New Roman" w:hAnsi="Times New Roman"/>
                <w:i/>
                <w:szCs w:val="24"/>
              </w:rPr>
              <w:t>00</w:t>
            </w:r>
            <w:r w:rsidR="006B18B3">
              <w:rPr>
                <w:rFonts w:ascii="Times New Roman" w:hAnsi="Times New Roman"/>
                <w:i/>
                <w:szCs w:val="24"/>
              </w:rPr>
              <w:t>0</w:t>
            </w:r>
            <w:r w:rsidRPr="00344878">
              <w:rPr>
                <w:rFonts w:ascii="Times New Roman" w:hAnsi="Times New Roman"/>
                <w:i/>
                <w:szCs w:val="24"/>
              </w:rPr>
              <w:t xml:space="preserve"> ($178,000 - $</w:t>
            </w:r>
            <w:r w:rsidR="0045594E">
              <w:rPr>
                <w:rFonts w:ascii="Times New Roman" w:hAnsi="Times New Roman"/>
                <w:i/>
                <w:szCs w:val="24"/>
              </w:rPr>
              <w:t>78</w:t>
            </w:r>
            <w:r w:rsidR="006B18B3">
              <w:rPr>
                <w:rFonts w:ascii="Times New Roman" w:hAnsi="Times New Roman"/>
                <w:i/>
                <w:szCs w:val="24"/>
              </w:rPr>
              <w:t>,</w:t>
            </w:r>
            <w:r w:rsidR="00130F40">
              <w:rPr>
                <w:rFonts w:ascii="Times New Roman" w:hAnsi="Times New Roman"/>
                <w:i/>
                <w:szCs w:val="24"/>
              </w:rPr>
              <w:t>0</w:t>
            </w:r>
            <w:r w:rsidR="006B18B3">
              <w:rPr>
                <w:rFonts w:ascii="Times New Roman" w:hAnsi="Times New Roman"/>
                <w:i/>
                <w:szCs w:val="24"/>
              </w:rPr>
              <w:t>00</w:t>
            </w:r>
            <w:r w:rsidRPr="00344878">
              <w:rPr>
                <w:rFonts w:ascii="Times New Roman" w:hAnsi="Times New Roman"/>
                <w:i/>
                <w:szCs w:val="24"/>
              </w:rPr>
              <w:t xml:space="preserve">) of </w:t>
            </w:r>
            <w:r w:rsidR="00801F2C">
              <w:rPr>
                <w:rFonts w:ascii="Times New Roman" w:hAnsi="Times New Roman"/>
                <w:i/>
                <w:szCs w:val="24"/>
              </w:rPr>
              <w:t>0/15/</w:t>
            </w:r>
            <w:r>
              <w:rPr>
                <w:rFonts w:ascii="Times New Roman" w:hAnsi="Times New Roman"/>
                <w:i/>
                <w:szCs w:val="24"/>
              </w:rPr>
              <w:t>20</w:t>
            </w:r>
            <w:r w:rsidRPr="00344878">
              <w:rPr>
                <w:rFonts w:ascii="Times New Roman" w:hAnsi="Times New Roman"/>
                <w:i/>
                <w:szCs w:val="24"/>
              </w:rPr>
              <w:t xml:space="preserve">% capital gain </w:t>
            </w:r>
            <w:r w:rsidR="00130F40">
              <w:rPr>
                <w:rFonts w:ascii="Times New Roman" w:hAnsi="Times New Roman"/>
                <w:i/>
                <w:szCs w:val="24"/>
              </w:rPr>
              <w:t xml:space="preserve">pushes Ron and Anne’s taxable income above the maximum 15-percent rate amount ($479,000) </w:t>
            </w:r>
            <w:r w:rsidRPr="00344878">
              <w:rPr>
                <w:rFonts w:ascii="Times New Roman" w:hAnsi="Times New Roman"/>
                <w:i/>
                <w:szCs w:val="24"/>
              </w:rPr>
              <w:t xml:space="preserve">so it is taxed at </w:t>
            </w:r>
            <w:r>
              <w:rPr>
                <w:rFonts w:ascii="Times New Roman" w:hAnsi="Times New Roman"/>
                <w:i/>
                <w:szCs w:val="24"/>
              </w:rPr>
              <w:t>20</w:t>
            </w:r>
            <w:r w:rsidRPr="00344878">
              <w:rPr>
                <w:rFonts w:ascii="Times New Roman" w:hAnsi="Times New Roman"/>
                <w:i/>
                <w:szCs w:val="24"/>
              </w:rPr>
              <w:t>%.</w:t>
            </w:r>
          </w:p>
        </w:tc>
      </w:tr>
      <w:tr w:rsidR="0045594E" w:rsidRPr="00724467" w14:paraId="146B5B69" w14:textId="77777777" w:rsidTr="006916CA">
        <w:trPr>
          <w:jc w:val="center"/>
        </w:trPr>
        <w:tc>
          <w:tcPr>
            <w:tcW w:w="0" w:type="auto"/>
          </w:tcPr>
          <w:p w14:paraId="00102091" w14:textId="77777777" w:rsidR="0045594E" w:rsidRPr="00724467" w:rsidRDefault="0045594E" w:rsidP="006916CA">
            <w:pPr>
              <w:pStyle w:val="HangingIndent3"/>
              <w:spacing w:after="0"/>
              <w:ind w:left="0" w:firstLine="0"/>
              <w:rPr>
                <w:rFonts w:ascii="Times New Roman" w:hAnsi="Times New Roman"/>
                <w:i/>
                <w:szCs w:val="24"/>
              </w:rPr>
            </w:pPr>
            <w:r w:rsidRPr="00724467">
              <w:rPr>
                <w:rFonts w:ascii="Times New Roman" w:hAnsi="Times New Roman"/>
                <w:i/>
                <w:szCs w:val="24"/>
              </w:rPr>
              <w:t>$30,000; 25% rate capital gains</w:t>
            </w:r>
          </w:p>
        </w:tc>
        <w:tc>
          <w:tcPr>
            <w:tcW w:w="0" w:type="auto"/>
          </w:tcPr>
          <w:p w14:paraId="05BE1C04" w14:textId="77777777" w:rsidR="0045594E" w:rsidRPr="00724467" w:rsidRDefault="0045594E" w:rsidP="006916CA">
            <w:pPr>
              <w:pStyle w:val="HangingIndent3"/>
              <w:spacing w:after="0"/>
              <w:ind w:left="0" w:firstLine="0"/>
              <w:jc w:val="center"/>
              <w:rPr>
                <w:rFonts w:ascii="Times New Roman" w:hAnsi="Times New Roman"/>
                <w:i/>
                <w:szCs w:val="24"/>
              </w:rPr>
            </w:pPr>
            <w:r w:rsidRPr="00724467">
              <w:rPr>
                <w:rFonts w:ascii="Times New Roman" w:hAnsi="Times New Roman"/>
                <w:i/>
                <w:szCs w:val="24"/>
              </w:rPr>
              <w:t>25%</w:t>
            </w:r>
          </w:p>
        </w:tc>
        <w:tc>
          <w:tcPr>
            <w:tcW w:w="0" w:type="auto"/>
          </w:tcPr>
          <w:p w14:paraId="694587EA" w14:textId="77777777" w:rsidR="0045594E" w:rsidRPr="00724467" w:rsidRDefault="0045594E" w:rsidP="006916CA">
            <w:pPr>
              <w:pStyle w:val="HangingIndent3"/>
              <w:spacing w:after="0"/>
              <w:ind w:left="0" w:firstLine="0"/>
              <w:jc w:val="right"/>
              <w:rPr>
                <w:rFonts w:ascii="Times New Roman" w:hAnsi="Times New Roman"/>
                <w:i/>
                <w:szCs w:val="24"/>
              </w:rPr>
            </w:pPr>
            <w:r w:rsidRPr="00724467">
              <w:rPr>
                <w:rFonts w:ascii="Times New Roman" w:hAnsi="Times New Roman"/>
                <w:i/>
                <w:szCs w:val="24"/>
              </w:rPr>
              <w:t>$7,500</w:t>
            </w:r>
          </w:p>
        </w:tc>
        <w:tc>
          <w:tcPr>
            <w:tcW w:w="0" w:type="auto"/>
          </w:tcPr>
          <w:p w14:paraId="2B7C07ED" w14:textId="77777777" w:rsidR="0045594E" w:rsidRPr="00724467" w:rsidRDefault="0045594E" w:rsidP="006916CA">
            <w:pPr>
              <w:pStyle w:val="HangingIndent3"/>
              <w:spacing w:after="60"/>
              <w:ind w:left="0" w:firstLine="0"/>
              <w:rPr>
                <w:rFonts w:ascii="Times New Roman" w:hAnsi="Times New Roman"/>
                <w:i/>
                <w:szCs w:val="24"/>
              </w:rPr>
            </w:pPr>
            <w:r w:rsidRPr="00724467">
              <w:rPr>
                <w:rFonts w:ascii="Times New Roman" w:hAnsi="Times New Roman"/>
                <w:i/>
                <w:szCs w:val="24"/>
              </w:rPr>
              <w:t xml:space="preserve">$30,000 </w:t>
            </w:r>
            <w:r>
              <w:rPr>
                <w:rFonts w:ascii="Times New Roman" w:hAnsi="Times New Roman"/>
                <w:i/>
                <w:szCs w:val="24"/>
              </w:rPr>
              <w:t>×</w:t>
            </w:r>
            <w:r w:rsidRPr="00724467">
              <w:rPr>
                <w:rFonts w:ascii="Times New Roman" w:hAnsi="Times New Roman"/>
                <w:i/>
                <w:szCs w:val="24"/>
              </w:rPr>
              <w:t xml:space="preserve"> 25%</w:t>
            </w:r>
          </w:p>
          <w:p w14:paraId="5048D049" w14:textId="77777777" w:rsidR="0045594E" w:rsidRPr="00724467" w:rsidRDefault="0045594E" w:rsidP="006916CA">
            <w:pPr>
              <w:pStyle w:val="HangingIndent3"/>
              <w:spacing w:after="60"/>
              <w:ind w:left="0" w:firstLine="0"/>
              <w:rPr>
                <w:rFonts w:ascii="Times New Roman" w:hAnsi="Times New Roman"/>
                <w:i/>
                <w:szCs w:val="24"/>
              </w:rPr>
            </w:pPr>
          </w:p>
        </w:tc>
      </w:tr>
      <w:tr w:rsidR="0045594E" w:rsidRPr="00724467" w14:paraId="63F46DAB" w14:textId="77777777" w:rsidTr="006916CA">
        <w:trPr>
          <w:jc w:val="center"/>
        </w:trPr>
        <w:tc>
          <w:tcPr>
            <w:tcW w:w="0" w:type="auto"/>
          </w:tcPr>
          <w:p w14:paraId="759E8B48" w14:textId="77777777" w:rsidR="0045594E" w:rsidRPr="00724467" w:rsidRDefault="0045594E" w:rsidP="006916CA">
            <w:pPr>
              <w:pStyle w:val="HangingIndent3"/>
              <w:spacing w:after="0"/>
              <w:ind w:left="0" w:firstLine="0"/>
              <w:rPr>
                <w:rFonts w:ascii="Times New Roman" w:hAnsi="Times New Roman"/>
                <w:i/>
                <w:szCs w:val="24"/>
              </w:rPr>
            </w:pPr>
            <w:r w:rsidRPr="00724467">
              <w:rPr>
                <w:rFonts w:ascii="Times New Roman" w:hAnsi="Times New Roman"/>
                <w:i/>
                <w:szCs w:val="24"/>
              </w:rPr>
              <w:t>$3,000; 28% rate capital gains</w:t>
            </w:r>
          </w:p>
        </w:tc>
        <w:tc>
          <w:tcPr>
            <w:tcW w:w="0" w:type="auto"/>
          </w:tcPr>
          <w:p w14:paraId="5E523593" w14:textId="77777777" w:rsidR="0045594E" w:rsidRPr="00724467" w:rsidRDefault="0045594E" w:rsidP="006916CA">
            <w:pPr>
              <w:pStyle w:val="HangingIndent3"/>
              <w:spacing w:after="0"/>
              <w:ind w:left="0" w:firstLine="0"/>
              <w:jc w:val="center"/>
              <w:rPr>
                <w:rFonts w:ascii="Times New Roman" w:hAnsi="Times New Roman"/>
                <w:i/>
                <w:szCs w:val="24"/>
              </w:rPr>
            </w:pPr>
            <w:r w:rsidRPr="00724467">
              <w:rPr>
                <w:rFonts w:ascii="Times New Roman" w:hAnsi="Times New Roman"/>
                <w:i/>
                <w:szCs w:val="24"/>
              </w:rPr>
              <w:t>28%</w:t>
            </w:r>
          </w:p>
        </w:tc>
        <w:tc>
          <w:tcPr>
            <w:tcW w:w="0" w:type="auto"/>
          </w:tcPr>
          <w:p w14:paraId="12DE4250" w14:textId="77777777" w:rsidR="0045594E" w:rsidRPr="000401AB" w:rsidRDefault="0045594E" w:rsidP="006916CA">
            <w:pPr>
              <w:pStyle w:val="HangingIndent3"/>
              <w:spacing w:after="0"/>
              <w:ind w:left="0" w:firstLine="0"/>
              <w:jc w:val="right"/>
              <w:rPr>
                <w:rFonts w:ascii="Times New Roman" w:hAnsi="Times New Roman"/>
                <w:i/>
                <w:szCs w:val="24"/>
                <w:u w:val="single"/>
              </w:rPr>
            </w:pPr>
            <w:r w:rsidRPr="000401AB">
              <w:rPr>
                <w:rFonts w:ascii="Times New Roman" w:hAnsi="Times New Roman"/>
                <w:i/>
                <w:szCs w:val="24"/>
                <w:u w:val="single"/>
              </w:rPr>
              <w:t>$840</w:t>
            </w:r>
          </w:p>
        </w:tc>
        <w:tc>
          <w:tcPr>
            <w:tcW w:w="0" w:type="auto"/>
          </w:tcPr>
          <w:p w14:paraId="73A2BED7" w14:textId="77777777" w:rsidR="0045594E" w:rsidRPr="00724467" w:rsidRDefault="0045594E" w:rsidP="006916CA">
            <w:pPr>
              <w:pStyle w:val="HangingIndent3"/>
              <w:spacing w:after="60"/>
              <w:ind w:left="0" w:firstLine="0"/>
              <w:rPr>
                <w:rFonts w:ascii="Times New Roman" w:hAnsi="Times New Roman"/>
                <w:i/>
                <w:szCs w:val="24"/>
              </w:rPr>
            </w:pPr>
            <w:r w:rsidRPr="00724467">
              <w:rPr>
                <w:rFonts w:ascii="Times New Roman" w:hAnsi="Times New Roman"/>
                <w:i/>
                <w:szCs w:val="24"/>
              </w:rPr>
              <w:t xml:space="preserve">$3,000 </w:t>
            </w:r>
            <w:r>
              <w:rPr>
                <w:rFonts w:ascii="Times New Roman" w:hAnsi="Times New Roman"/>
                <w:i/>
                <w:szCs w:val="24"/>
              </w:rPr>
              <w:t>×</w:t>
            </w:r>
            <w:r w:rsidRPr="00724467">
              <w:rPr>
                <w:rFonts w:ascii="Times New Roman" w:hAnsi="Times New Roman"/>
                <w:i/>
                <w:szCs w:val="24"/>
              </w:rPr>
              <w:t xml:space="preserve"> 28%</w:t>
            </w:r>
          </w:p>
          <w:p w14:paraId="45803EC2" w14:textId="77777777" w:rsidR="0045594E" w:rsidRPr="00724467" w:rsidRDefault="0045594E" w:rsidP="006916CA">
            <w:pPr>
              <w:pStyle w:val="HangingIndent3"/>
              <w:spacing w:after="60"/>
              <w:ind w:left="0" w:firstLine="0"/>
              <w:rPr>
                <w:rFonts w:ascii="Times New Roman" w:hAnsi="Times New Roman"/>
                <w:i/>
                <w:szCs w:val="24"/>
              </w:rPr>
            </w:pPr>
          </w:p>
        </w:tc>
      </w:tr>
      <w:tr w:rsidR="00130F40" w:rsidRPr="000A6D89" w14:paraId="2AB4D295" w14:textId="77777777" w:rsidTr="00724467">
        <w:trPr>
          <w:jc w:val="center"/>
        </w:trPr>
        <w:tc>
          <w:tcPr>
            <w:tcW w:w="0" w:type="auto"/>
          </w:tcPr>
          <w:p w14:paraId="49D2856B" w14:textId="77777777" w:rsidR="00745022" w:rsidRPr="00724467" w:rsidRDefault="00745022" w:rsidP="000A6D89">
            <w:pPr>
              <w:pStyle w:val="HangingIndent3"/>
              <w:spacing w:after="0"/>
              <w:ind w:left="0" w:firstLine="0"/>
              <w:rPr>
                <w:rFonts w:ascii="Times New Roman" w:hAnsi="Times New Roman"/>
                <w:b/>
                <w:i/>
                <w:szCs w:val="24"/>
              </w:rPr>
            </w:pPr>
            <w:r w:rsidRPr="00724467">
              <w:rPr>
                <w:rFonts w:ascii="Times New Roman" w:hAnsi="Times New Roman"/>
                <w:b/>
                <w:i/>
                <w:szCs w:val="24"/>
              </w:rPr>
              <w:t>Gross tax liability</w:t>
            </w:r>
          </w:p>
        </w:tc>
        <w:tc>
          <w:tcPr>
            <w:tcW w:w="0" w:type="auto"/>
          </w:tcPr>
          <w:p w14:paraId="2C552985" w14:textId="77777777" w:rsidR="00745022" w:rsidRPr="00724467" w:rsidRDefault="00745022" w:rsidP="000A6D89">
            <w:pPr>
              <w:pStyle w:val="HangingIndent3"/>
              <w:spacing w:after="0"/>
              <w:ind w:left="0" w:firstLine="0"/>
              <w:jc w:val="center"/>
              <w:rPr>
                <w:rFonts w:ascii="Times New Roman" w:hAnsi="Times New Roman"/>
                <w:b/>
                <w:i/>
                <w:szCs w:val="24"/>
              </w:rPr>
            </w:pPr>
          </w:p>
        </w:tc>
        <w:tc>
          <w:tcPr>
            <w:tcW w:w="0" w:type="auto"/>
          </w:tcPr>
          <w:p w14:paraId="5A26B060" w14:textId="5C4E6F75" w:rsidR="00745022" w:rsidRPr="000A6D89" w:rsidRDefault="00745022">
            <w:pPr>
              <w:pStyle w:val="HangingIndent3"/>
              <w:spacing w:after="0"/>
              <w:ind w:left="0" w:firstLine="0"/>
              <w:jc w:val="right"/>
              <w:rPr>
                <w:rFonts w:ascii="Times New Roman" w:hAnsi="Times New Roman"/>
                <w:b/>
                <w:i/>
                <w:szCs w:val="24"/>
              </w:rPr>
            </w:pPr>
            <w:r w:rsidRPr="00724467">
              <w:rPr>
                <w:rFonts w:ascii="Times New Roman" w:hAnsi="Times New Roman"/>
                <w:b/>
                <w:i/>
                <w:szCs w:val="24"/>
              </w:rPr>
              <w:t>$</w:t>
            </w:r>
            <w:r w:rsidR="00510592">
              <w:rPr>
                <w:rFonts w:ascii="Times New Roman" w:hAnsi="Times New Roman"/>
                <w:b/>
                <w:i/>
                <w:szCs w:val="24"/>
              </w:rPr>
              <w:t>13</w:t>
            </w:r>
            <w:r w:rsidR="0045594E">
              <w:rPr>
                <w:rFonts w:ascii="Times New Roman" w:hAnsi="Times New Roman"/>
                <w:b/>
                <w:i/>
                <w:szCs w:val="24"/>
              </w:rPr>
              <w:t>1</w:t>
            </w:r>
            <w:r w:rsidR="00510592">
              <w:rPr>
                <w:rFonts w:ascii="Times New Roman" w:hAnsi="Times New Roman"/>
                <w:b/>
                <w:i/>
                <w:szCs w:val="24"/>
              </w:rPr>
              <w:t>,</w:t>
            </w:r>
            <w:r w:rsidR="0045594E">
              <w:rPr>
                <w:rFonts w:ascii="Times New Roman" w:hAnsi="Times New Roman"/>
                <w:b/>
                <w:i/>
                <w:szCs w:val="24"/>
              </w:rPr>
              <w:t>76</w:t>
            </w:r>
            <w:r w:rsidR="00510592">
              <w:rPr>
                <w:rFonts w:ascii="Times New Roman" w:hAnsi="Times New Roman"/>
                <w:b/>
                <w:i/>
                <w:szCs w:val="24"/>
              </w:rPr>
              <w:t>9</w:t>
            </w:r>
          </w:p>
        </w:tc>
        <w:tc>
          <w:tcPr>
            <w:tcW w:w="0" w:type="auto"/>
          </w:tcPr>
          <w:p w14:paraId="194943A5" w14:textId="77777777" w:rsidR="00745022" w:rsidRPr="000A6D89" w:rsidRDefault="00745022" w:rsidP="000A6D89">
            <w:pPr>
              <w:pStyle w:val="HangingIndent3"/>
              <w:spacing w:after="0"/>
              <w:ind w:left="0" w:firstLine="0"/>
              <w:jc w:val="right"/>
              <w:rPr>
                <w:rFonts w:ascii="Times New Roman" w:hAnsi="Times New Roman"/>
                <w:i/>
                <w:szCs w:val="24"/>
              </w:rPr>
            </w:pPr>
          </w:p>
        </w:tc>
      </w:tr>
    </w:tbl>
    <w:p w14:paraId="75FF5619" w14:textId="77777777" w:rsidR="00745022" w:rsidRPr="00C80019" w:rsidRDefault="00745022" w:rsidP="00C80019">
      <w:pPr>
        <w:pStyle w:val="HangingIndent3"/>
        <w:spacing w:after="0"/>
        <w:ind w:left="720" w:hanging="360"/>
        <w:rPr>
          <w:rFonts w:ascii="Times New Roman" w:hAnsi="Times New Roman"/>
          <w:i/>
          <w:szCs w:val="24"/>
        </w:rPr>
      </w:pPr>
    </w:p>
    <w:p w14:paraId="5F96F138" w14:textId="2D2BC0A1" w:rsidR="00745022" w:rsidRDefault="00745022" w:rsidP="00277780">
      <w:pPr>
        <w:numPr>
          <w:ilvl w:val="0"/>
          <w:numId w:val="1"/>
        </w:numPr>
        <w:ind w:hanging="600"/>
      </w:pPr>
      <w:r w:rsidRPr="003B22C1">
        <w:t xml:space="preserve">[LO 2] In </w:t>
      </w:r>
      <w:r w:rsidR="00FA6CBC">
        <w:t>2018</w:t>
      </w:r>
      <w:r w:rsidRPr="003B22C1">
        <w:t>, Tom and Amanda Jackson (married filing jointly) have $200,000</w:t>
      </w:r>
      <w:r>
        <w:t xml:space="preserve"> of taxable income before considering the following events:</w:t>
      </w:r>
    </w:p>
    <w:p w14:paraId="3CB0E02A" w14:textId="426D4AF2" w:rsidR="00745022" w:rsidRDefault="00745022" w:rsidP="005022F8">
      <w:pPr>
        <w:numPr>
          <w:ilvl w:val="0"/>
          <w:numId w:val="12"/>
        </w:numPr>
        <w:autoSpaceDE w:val="0"/>
        <w:autoSpaceDN w:val="0"/>
        <w:adjustRightInd w:val="0"/>
        <w:spacing w:before="120"/>
        <w:outlineLvl w:val="0"/>
      </w:pPr>
      <w:r>
        <w:t xml:space="preserve">On May 12, </w:t>
      </w:r>
      <w:r w:rsidR="00FA6CBC">
        <w:t>2018</w:t>
      </w:r>
      <w:r>
        <w:t xml:space="preserve">, they sold a painting (art) for $110,000 that was inherited from Grandma on July 23, </w:t>
      </w:r>
      <w:r w:rsidR="00FA6CBC">
        <w:t>2016</w:t>
      </w:r>
      <w:r>
        <w:t>. The fair market value on the date of Grandma's death was $90,000 and Grandma's adjusted basis of the painting was $25,000.</w:t>
      </w:r>
    </w:p>
    <w:p w14:paraId="68947788" w14:textId="11FE2F34" w:rsidR="00745022" w:rsidRDefault="00A94CA2" w:rsidP="005022F8">
      <w:pPr>
        <w:numPr>
          <w:ilvl w:val="0"/>
          <w:numId w:val="12"/>
        </w:numPr>
        <w:autoSpaceDE w:val="0"/>
        <w:autoSpaceDN w:val="0"/>
        <w:adjustRightInd w:val="0"/>
        <w:spacing w:before="120"/>
        <w:outlineLvl w:val="0"/>
      </w:pPr>
      <w:r>
        <w:t>They a</w:t>
      </w:r>
      <w:r w:rsidR="00745022">
        <w:t xml:space="preserve">pplied a long-term capital loss carryover from </w:t>
      </w:r>
      <w:r w:rsidR="00FA6CBC">
        <w:t xml:space="preserve">2017 </w:t>
      </w:r>
      <w:r w:rsidR="00745022">
        <w:t>of $10,000.</w:t>
      </w:r>
    </w:p>
    <w:p w14:paraId="22BA992A" w14:textId="3F12BE24" w:rsidR="00745022" w:rsidRDefault="00A94CA2" w:rsidP="005022F8">
      <w:pPr>
        <w:numPr>
          <w:ilvl w:val="0"/>
          <w:numId w:val="12"/>
        </w:numPr>
        <w:autoSpaceDE w:val="0"/>
        <w:autoSpaceDN w:val="0"/>
        <w:adjustRightInd w:val="0"/>
        <w:spacing w:before="120"/>
        <w:outlineLvl w:val="0"/>
      </w:pPr>
      <w:r>
        <w:t>They r</w:t>
      </w:r>
      <w:r w:rsidR="00745022">
        <w:t>ecognized a $12,000 loss on 11/1</w:t>
      </w:r>
      <w:r w:rsidR="003B22C1">
        <w:t>/</w:t>
      </w:r>
      <w:r w:rsidR="00FA6CBC">
        <w:t>2018</w:t>
      </w:r>
      <w:r w:rsidR="00240F3A">
        <w:t xml:space="preserve"> </w:t>
      </w:r>
      <w:r w:rsidR="00745022">
        <w:t>sale of bonds (acquired on 5/12/</w:t>
      </w:r>
      <w:r w:rsidR="00FA6CBC">
        <w:t>2008</w:t>
      </w:r>
      <w:r w:rsidR="00745022">
        <w:t>).</w:t>
      </w:r>
    </w:p>
    <w:p w14:paraId="6B92A44A" w14:textId="546EB59E" w:rsidR="00745022" w:rsidRDefault="00A94CA2" w:rsidP="005022F8">
      <w:pPr>
        <w:numPr>
          <w:ilvl w:val="0"/>
          <w:numId w:val="12"/>
        </w:numPr>
        <w:autoSpaceDE w:val="0"/>
        <w:autoSpaceDN w:val="0"/>
        <w:adjustRightInd w:val="0"/>
        <w:spacing w:before="120"/>
        <w:outlineLvl w:val="0"/>
      </w:pPr>
      <w:r>
        <w:t>They r</w:t>
      </w:r>
      <w:r w:rsidR="00745022">
        <w:t>ecognized a $4,000 gain on 12</w:t>
      </w:r>
      <w:r w:rsidR="003B22C1">
        <w:t>/1</w:t>
      </w:r>
      <w:r w:rsidR="00F76BCF">
        <w:t>2</w:t>
      </w:r>
      <w:r w:rsidR="003B22C1">
        <w:t>/</w:t>
      </w:r>
      <w:r w:rsidR="00FA6CBC">
        <w:t>2018</w:t>
      </w:r>
      <w:r w:rsidR="00E42B57">
        <w:t xml:space="preserve"> </w:t>
      </w:r>
      <w:r w:rsidR="00745022">
        <w:t>sale of IBM stock (acquired on 2/5</w:t>
      </w:r>
      <w:r w:rsidR="003B22C1">
        <w:t>/</w:t>
      </w:r>
      <w:r w:rsidR="00FA6CBC">
        <w:t>2018</w:t>
      </w:r>
      <w:r w:rsidR="00745022">
        <w:t>).</w:t>
      </w:r>
    </w:p>
    <w:p w14:paraId="73B5A863" w14:textId="321B14AA" w:rsidR="00745022" w:rsidRDefault="00A94CA2" w:rsidP="005022F8">
      <w:pPr>
        <w:numPr>
          <w:ilvl w:val="0"/>
          <w:numId w:val="12"/>
        </w:numPr>
        <w:autoSpaceDE w:val="0"/>
        <w:autoSpaceDN w:val="0"/>
        <w:adjustRightInd w:val="0"/>
        <w:spacing w:before="120"/>
        <w:outlineLvl w:val="0"/>
      </w:pPr>
      <w:r>
        <w:t>They r</w:t>
      </w:r>
      <w:r w:rsidR="00745022">
        <w:t>ecognized a $17,000 gain on the 10/17</w:t>
      </w:r>
      <w:r w:rsidR="003B22C1">
        <w:t>/</w:t>
      </w:r>
      <w:r w:rsidR="00FA6CBC">
        <w:t>2018</w:t>
      </w:r>
      <w:r w:rsidR="00E42B57">
        <w:t xml:space="preserve"> </w:t>
      </w:r>
      <w:r w:rsidR="00745022">
        <w:t xml:space="preserve">sale of rental property (the only §1231 transaction) of which $8,000 is reportable as gain subject to the 25 percent maximum rate and the remaining $9,000 is subject to the </w:t>
      </w:r>
      <w:r w:rsidR="00EC7E0D">
        <w:t>0/15/20</w:t>
      </w:r>
      <w:r w:rsidR="00745022">
        <w:t xml:space="preserve"> percent maximum rate</w:t>
      </w:r>
      <w:r w:rsidR="00EC7E0D">
        <w:t>s</w:t>
      </w:r>
      <w:r w:rsidR="00745022">
        <w:t xml:space="preserve"> (the</w:t>
      </w:r>
      <w:r w:rsidR="00317E5E">
        <w:t xml:space="preserve"> property was acquired on 8/2/</w:t>
      </w:r>
      <w:r w:rsidR="00FA6CBC">
        <w:t>2012</w:t>
      </w:r>
      <w:r w:rsidR="00745022">
        <w:t>).</w:t>
      </w:r>
    </w:p>
    <w:p w14:paraId="1B09C166" w14:textId="77598870" w:rsidR="00745022" w:rsidRDefault="00A94CA2" w:rsidP="005022F8">
      <w:pPr>
        <w:numPr>
          <w:ilvl w:val="0"/>
          <w:numId w:val="12"/>
        </w:numPr>
        <w:autoSpaceDE w:val="0"/>
        <w:autoSpaceDN w:val="0"/>
        <w:adjustRightInd w:val="0"/>
        <w:spacing w:before="120"/>
        <w:outlineLvl w:val="0"/>
      </w:pPr>
      <w:r>
        <w:t>They r</w:t>
      </w:r>
      <w:r w:rsidR="00745022">
        <w:t>ecognized a $12,000 loss on 12/20</w:t>
      </w:r>
      <w:r w:rsidR="003B22C1">
        <w:t>/</w:t>
      </w:r>
      <w:r w:rsidR="00FA6CBC">
        <w:t>2018</w:t>
      </w:r>
      <w:r w:rsidR="00E42B57">
        <w:t xml:space="preserve"> </w:t>
      </w:r>
      <w:r w:rsidR="00745022">
        <w:t>sale of bonds (acquired on 1/18</w:t>
      </w:r>
      <w:r w:rsidR="003B22C1">
        <w:t>/</w:t>
      </w:r>
      <w:r w:rsidR="00FA6CBC">
        <w:t>2018</w:t>
      </w:r>
      <w:r w:rsidR="00745022">
        <w:t>).</w:t>
      </w:r>
    </w:p>
    <w:p w14:paraId="604D1B07" w14:textId="1903A8BA" w:rsidR="00745022" w:rsidRDefault="00A94CA2" w:rsidP="005022F8">
      <w:pPr>
        <w:numPr>
          <w:ilvl w:val="0"/>
          <w:numId w:val="12"/>
        </w:numPr>
        <w:autoSpaceDE w:val="0"/>
        <w:autoSpaceDN w:val="0"/>
        <w:adjustRightInd w:val="0"/>
        <w:spacing w:before="120"/>
        <w:outlineLvl w:val="0"/>
      </w:pPr>
      <w:r>
        <w:t>They r</w:t>
      </w:r>
      <w:r w:rsidR="00745022">
        <w:t>ecognized a $7,000 gain on 6/27</w:t>
      </w:r>
      <w:r w:rsidR="003B22C1">
        <w:t>/</w:t>
      </w:r>
      <w:r w:rsidR="00FA6CBC">
        <w:t>2018</w:t>
      </w:r>
      <w:r w:rsidR="00E42B57">
        <w:t xml:space="preserve"> </w:t>
      </w:r>
      <w:r w:rsidR="00745022">
        <w:t>sale of BH stock (acquired on 7/30/</w:t>
      </w:r>
      <w:r w:rsidR="00FA6CBC">
        <w:t>2009</w:t>
      </w:r>
      <w:r w:rsidR="00745022">
        <w:t>).</w:t>
      </w:r>
    </w:p>
    <w:p w14:paraId="0912C57F" w14:textId="190BEFDF" w:rsidR="00745022" w:rsidRDefault="00A94CA2" w:rsidP="005022F8">
      <w:pPr>
        <w:numPr>
          <w:ilvl w:val="0"/>
          <w:numId w:val="12"/>
        </w:numPr>
        <w:autoSpaceDE w:val="0"/>
        <w:autoSpaceDN w:val="0"/>
        <w:adjustRightInd w:val="0"/>
        <w:spacing w:before="120"/>
        <w:outlineLvl w:val="0"/>
      </w:pPr>
      <w:r>
        <w:t>They r</w:t>
      </w:r>
      <w:r w:rsidR="00745022">
        <w:t>ecognized an $11,000 loss on 6/13</w:t>
      </w:r>
      <w:r w:rsidR="003B22C1">
        <w:t>/</w:t>
      </w:r>
      <w:r w:rsidR="00FA6CBC">
        <w:t>2018</w:t>
      </w:r>
      <w:r w:rsidR="00E42B57">
        <w:t xml:space="preserve"> </w:t>
      </w:r>
      <w:r w:rsidR="00745022">
        <w:t>sale of QuikCo stock (acquired on 3/20/</w:t>
      </w:r>
      <w:r w:rsidR="00EC7E0D">
        <w:t>20</w:t>
      </w:r>
      <w:r w:rsidR="000C48DF">
        <w:t>1</w:t>
      </w:r>
      <w:r w:rsidR="00FA6CBC">
        <w:t>1</w:t>
      </w:r>
      <w:r w:rsidR="00745022">
        <w:t>).</w:t>
      </w:r>
    </w:p>
    <w:p w14:paraId="302F4678" w14:textId="2509DAFC" w:rsidR="00745022" w:rsidRDefault="00A94CA2" w:rsidP="005022F8">
      <w:pPr>
        <w:numPr>
          <w:ilvl w:val="0"/>
          <w:numId w:val="12"/>
        </w:numPr>
        <w:autoSpaceDE w:val="0"/>
        <w:autoSpaceDN w:val="0"/>
        <w:adjustRightInd w:val="0"/>
        <w:spacing w:before="120"/>
        <w:outlineLvl w:val="0"/>
      </w:pPr>
      <w:r>
        <w:t>They r</w:t>
      </w:r>
      <w:r w:rsidR="00745022">
        <w:t>eceived $500 of qualified dividends on 7/</w:t>
      </w:r>
      <w:r w:rsidR="00EC7E0D">
        <w:t>15</w:t>
      </w:r>
      <w:r w:rsidR="003B22C1">
        <w:t>/</w:t>
      </w:r>
      <w:r w:rsidR="00FA6CBC">
        <w:t>2018</w:t>
      </w:r>
      <w:r w:rsidR="00745022">
        <w:t>.</w:t>
      </w:r>
    </w:p>
    <w:p w14:paraId="20AF3F50" w14:textId="77777777" w:rsidR="0089787C" w:rsidRDefault="0089787C" w:rsidP="00277780">
      <w:pPr>
        <w:ind w:left="600"/>
      </w:pPr>
    </w:p>
    <w:p w14:paraId="7E1CB21B" w14:textId="7FD70201" w:rsidR="00745022" w:rsidRDefault="00745022" w:rsidP="00277780">
      <w:pPr>
        <w:ind w:left="600"/>
      </w:pPr>
      <w:r>
        <w:t xml:space="preserve">Complete the required capital gains netting procedures and calculate the Jacksons’ </w:t>
      </w:r>
      <w:r w:rsidR="00FA6CBC">
        <w:t>2018</w:t>
      </w:r>
      <w:r w:rsidR="00E42B57">
        <w:t xml:space="preserve"> </w:t>
      </w:r>
      <w:r>
        <w:t>tax liability</w:t>
      </w:r>
      <w:r w:rsidRPr="00D7674A">
        <w:t>.</w:t>
      </w:r>
    </w:p>
    <w:p w14:paraId="2DE9B20B" w14:textId="77777777" w:rsidR="00745022" w:rsidRDefault="00745022" w:rsidP="00277780">
      <w:pPr>
        <w:ind w:left="600"/>
      </w:pPr>
    </w:p>
    <w:p w14:paraId="796009C3" w14:textId="77777777" w:rsidR="00745022" w:rsidRPr="00175BF7" w:rsidRDefault="00745022" w:rsidP="00912DCF">
      <w:pPr>
        <w:rPr>
          <w:rFonts w:ascii="Comic Sans MS" w:hAnsi="Comic Sans MS"/>
          <w:color w:val="FF0000"/>
          <w:sz w:val="20"/>
        </w:rPr>
      </w:pPr>
    </w:p>
    <w:tbl>
      <w:tblPr>
        <w:tblW w:w="5000" w:type="pct"/>
        <w:tblLook w:val="0000" w:firstRow="0" w:lastRow="0" w:firstColumn="0" w:lastColumn="0" w:noHBand="0" w:noVBand="0"/>
      </w:tblPr>
      <w:tblGrid>
        <w:gridCol w:w="1869"/>
        <w:gridCol w:w="1934"/>
        <w:gridCol w:w="2096"/>
        <w:gridCol w:w="2741"/>
      </w:tblGrid>
      <w:tr w:rsidR="00745022" w:rsidRPr="00912DCF" w14:paraId="558EE5D0" w14:textId="77777777" w:rsidTr="0089787C">
        <w:trPr>
          <w:cantSplit/>
        </w:trPr>
        <w:tc>
          <w:tcPr>
            <w:tcW w:w="1082" w:type="pct"/>
            <w:tcBorders>
              <w:bottom w:val="single" w:sz="4" w:space="0" w:color="auto"/>
              <w:right w:val="dashed" w:sz="4" w:space="0" w:color="auto"/>
            </w:tcBorders>
          </w:tcPr>
          <w:p w14:paraId="74637FC3" w14:textId="77777777" w:rsidR="00745022" w:rsidRPr="00912DCF" w:rsidRDefault="00745022" w:rsidP="009A5F9D">
            <w:pPr>
              <w:pStyle w:val="NormalWeb"/>
              <w:spacing w:before="0" w:beforeAutospacing="0" w:after="0" w:afterAutospacing="0"/>
              <w:jc w:val="center"/>
              <w:rPr>
                <w:i/>
              </w:rPr>
            </w:pPr>
            <w:r w:rsidRPr="00912DCF">
              <w:rPr>
                <w:i/>
              </w:rPr>
              <w:t>ST</w:t>
            </w:r>
          </w:p>
        </w:tc>
        <w:tc>
          <w:tcPr>
            <w:tcW w:w="3918" w:type="pct"/>
            <w:gridSpan w:val="3"/>
            <w:tcBorders>
              <w:left w:val="dashed" w:sz="4" w:space="0" w:color="auto"/>
              <w:bottom w:val="single" w:sz="4" w:space="0" w:color="auto"/>
            </w:tcBorders>
          </w:tcPr>
          <w:p w14:paraId="28295AD8" w14:textId="77777777" w:rsidR="00745022" w:rsidRPr="00912DCF" w:rsidRDefault="00745022" w:rsidP="009A5F9D">
            <w:pPr>
              <w:pStyle w:val="NormalWeb"/>
              <w:jc w:val="center"/>
              <w:rPr>
                <w:i/>
              </w:rPr>
            </w:pPr>
            <w:r w:rsidRPr="00912DCF">
              <w:rPr>
                <w:i/>
              </w:rPr>
              <w:t>LT</w:t>
            </w:r>
          </w:p>
        </w:tc>
      </w:tr>
      <w:tr w:rsidR="00745022" w:rsidRPr="00912DCF" w14:paraId="5F7735C1" w14:textId="77777777" w:rsidTr="0089787C">
        <w:tc>
          <w:tcPr>
            <w:tcW w:w="1082" w:type="pct"/>
            <w:tcBorders>
              <w:top w:val="single" w:sz="4" w:space="0" w:color="auto"/>
              <w:right w:val="dashed" w:sz="4" w:space="0" w:color="auto"/>
            </w:tcBorders>
          </w:tcPr>
          <w:p w14:paraId="66133221" w14:textId="77777777" w:rsidR="00745022" w:rsidRPr="00912DCF" w:rsidRDefault="00745022" w:rsidP="009A5F9D">
            <w:pPr>
              <w:pStyle w:val="NormalWeb"/>
              <w:jc w:val="center"/>
              <w:rPr>
                <w:i/>
              </w:rPr>
            </w:pPr>
          </w:p>
        </w:tc>
        <w:tc>
          <w:tcPr>
            <w:tcW w:w="1119" w:type="pct"/>
            <w:tcBorders>
              <w:top w:val="single" w:sz="4" w:space="0" w:color="auto"/>
              <w:left w:val="dashed" w:sz="4" w:space="0" w:color="auto"/>
            </w:tcBorders>
          </w:tcPr>
          <w:p w14:paraId="09770677" w14:textId="77777777" w:rsidR="00745022" w:rsidRPr="00497062" w:rsidRDefault="00745022" w:rsidP="009A5F9D">
            <w:pPr>
              <w:pStyle w:val="NormalWeb"/>
              <w:jc w:val="center"/>
              <w:rPr>
                <w:b/>
                <w:i/>
              </w:rPr>
            </w:pPr>
            <w:r w:rsidRPr="00497062">
              <w:rPr>
                <w:b/>
                <w:i/>
              </w:rPr>
              <w:t xml:space="preserve"> 28%</w:t>
            </w:r>
          </w:p>
        </w:tc>
        <w:tc>
          <w:tcPr>
            <w:tcW w:w="1213" w:type="pct"/>
            <w:tcBorders>
              <w:top w:val="single" w:sz="4" w:space="0" w:color="auto"/>
            </w:tcBorders>
          </w:tcPr>
          <w:p w14:paraId="363FBAFA" w14:textId="77777777" w:rsidR="00745022" w:rsidRPr="00497062" w:rsidRDefault="00745022" w:rsidP="009A5F9D">
            <w:pPr>
              <w:pStyle w:val="NormalWeb"/>
              <w:jc w:val="center"/>
              <w:rPr>
                <w:b/>
                <w:i/>
              </w:rPr>
            </w:pPr>
            <w:r w:rsidRPr="00497062">
              <w:rPr>
                <w:b/>
                <w:i/>
              </w:rPr>
              <w:t xml:space="preserve"> 25%</w:t>
            </w:r>
          </w:p>
        </w:tc>
        <w:tc>
          <w:tcPr>
            <w:tcW w:w="1586" w:type="pct"/>
            <w:tcBorders>
              <w:top w:val="single" w:sz="4" w:space="0" w:color="auto"/>
            </w:tcBorders>
          </w:tcPr>
          <w:p w14:paraId="45F4E80E" w14:textId="77777777" w:rsidR="00745022" w:rsidRPr="00497062" w:rsidRDefault="00745022" w:rsidP="00BA44CF">
            <w:pPr>
              <w:pStyle w:val="NormalWeb"/>
              <w:jc w:val="center"/>
              <w:rPr>
                <w:b/>
                <w:i/>
              </w:rPr>
            </w:pPr>
            <w:r w:rsidRPr="00D20E7B">
              <w:rPr>
                <w:b/>
                <w:i/>
              </w:rPr>
              <w:t xml:space="preserve"> </w:t>
            </w:r>
            <w:r w:rsidR="00D20E7B" w:rsidRPr="00D20E7B">
              <w:rPr>
                <w:b/>
                <w:i/>
              </w:rPr>
              <w:t>0/15/</w:t>
            </w:r>
            <w:r w:rsidR="00BA44CF" w:rsidRPr="00D20E7B">
              <w:rPr>
                <w:b/>
                <w:i/>
              </w:rPr>
              <w:t>20</w:t>
            </w:r>
            <w:r w:rsidR="00BA44CF">
              <w:rPr>
                <w:b/>
                <w:i/>
              </w:rPr>
              <w:t>%</w:t>
            </w:r>
          </w:p>
        </w:tc>
      </w:tr>
      <w:tr w:rsidR="00745022" w:rsidRPr="00912DCF" w14:paraId="048985E0" w14:textId="77777777" w:rsidTr="0089787C">
        <w:tc>
          <w:tcPr>
            <w:tcW w:w="1082" w:type="pct"/>
            <w:tcBorders>
              <w:right w:val="dashed" w:sz="4" w:space="0" w:color="auto"/>
            </w:tcBorders>
          </w:tcPr>
          <w:p w14:paraId="7B5610B1" w14:textId="77777777" w:rsidR="00745022" w:rsidRPr="00912DCF" w:rsidRDefault="00745022" w:rsidP="009A5F9D">
            <w:pPr>
              <w:pStyle w:val="NormalWeb"/>
              <w:tabs>
                <w:tab w:val="decimal" w:pos="1260"/>
              </w:tabs>
              <w:rPr>
                <w:i/>
              </w:rPr>
            </w:pPr>
            <w:r w:rsidRPr="00912DCF">
              <w:rPr>
                <w:i/>
              </w:rPr>
              <w:t>(d)    4,000</w:t>
            </w:r>
          </w:p>
        </w:tc>
        <w:tc>
          <w:tcPr>
            <w:tcW w:w="1119" w:type="pct"/>
            <w:tcBorders>
              <w:left w:val="dashed" w:sz="4" w:space="0" w:color="auto"/>
            </w:tcBorders>
          </w:tcPr>
          <w:p w14:paraId="2FCB3F80" w14:textId="77777777" w:rsidR="00745022" w:rsidRPr="00912DCF" w:rsidRDefault="00745022" w:rsidP="009A5F9D">
            <w:pPr>
              <w:pStyle w:val="NormalWeb"/>
              <w:tabs>
                <w:tab w:val="decimal" w:pos="1440"/>
              </w:tabs>
              <w:rPr>
                <w:i/>
              </w:rPr>
            </w:pPr>
            <w:r w:rsidRPr="00912DCF">
              <w:rPr>
                <w:i/>
              </w:rPr>
              <w:t>(a) 20,000</w:t>
            </w:r>
          </w:p>
        </w:tc>
        <w:tc>
          <w:tcPr>
            <w:tcW w:w="1213" w:type="pct"/>
          </w:tcPr>
          <w:p w14:paraId="234FEC3E" w14:textId="77777777" w:rsidR="00745022" w:rsidRPr="00912DCF" w:rsidRDefault="00745022" w:rsidP="009A5F9D">
            <w:pPr>
              <w:pStyle w:val="NormalWeb"/>
              <w:tabs>
                <w:tab w:val="decimal" w:pos="1440"/>
              </w:tabs>
              <w:rPr>
                <w:i/>
              </w:rPr>
            </w:pPr>
            <w:r w:rsidRPr="00912DCF">
              <w:rPr>
                <w:i/>
              </w:rPr>
              <w:t>(e) 8,000</w:t>
            </w:r>
          </w:p>
        </w:tc>
        <w:tc>
          <w:tcPr>
            <w:tcW w:w="1586" w:type="pct"/>
          </w:tcPr>
          <w:p w14:paraId="4C26B8BA" w14:textId="77777777" w:rsidR="00745022" w:rsidRPr="00912DCF" w:rsidRDefault="00745022" w:rsidP="009A5F9D">
            <w:pPr>
              <w:pStyle w:val="NormalWeb"/>
              <w:tabs>
                <w:tab w:val="decimal" w:pos="1440"/>
              </w:tabs>
              <w:rPr>
                <w:i/>
              </w:rPr>
            </w:pPr>
            <w:r w:rsidRPr="00912DCF">
              <w:rPr>
                <w:i/>
              </w:rPr>
              <w:t>(c)   (12,000)</w:t>
            </w:r>
          </w:p>
        </w:tc>
      </w:tr>
      <w:tr w:rsidR="00893DC8" w:rsidRPr="00912DCF" w14:paraId="085A6FA0" w14:textId="77777777" w:rsidTr="0089787C">
        <w:tc>
          <w:tcPr>
            <w:tcW w:w="1082" w:type="pct"/>
            <w:tcBorders>
              <w:right w:val="dashed" w:sz="4" w:space="0" w:color="auto"/>
            </w:tcBorders>
          </w:tcPr>
          <w:p w14:paraId="2AE18EBC" w14:textId="77777777" w:rsidR="00893DC8" w:rsidRPr="00912DCF" w:rsidRDefault="00893DC8" w:rsidP="009A5F9D">
            <w:pPr>
              <w:pStyle w:val="NormalWeb"/>
              <w:tabs>
                <w:tab w:val="decimal" w:pos="1260"/>
              </w:tabs>
              <w:rPr>
                <w:i/>
              </w:rPr>
            </w:pPr>
            <w:r w:rsidRPr="00912DCF">
              <w:rPr>
                <w:i/>
              </w:rPr>
              <w:t>(f) (12,000)</w:t>
            </w:r>
          </w:p>
        </w:tc>
        <w:tc>
          <w:tcPr>
            <w:tcW w:w="1119" w:type="pct"/>
            <w:tcBorders>
              <w:left w:val="dashed" w:sz="4" w:space="0" w:color="auto"/>
            </w:tcBorders>
          </w:tcPr>
          <w:p w14:paraId="2A2D8A28" w14:textId="77777777" w:rsidR="00893DC8" w:rsidRPr="00912DCF" w:rsidRDefault="00893DC8" w:rsidP="00893DC8">
            <w:pPr>
              <w:pStyle w:val="NormalWeb"/>
              <w:tabs>
                <w:tab w:val="decimal" w:pos="1440"/>
              </w:tabs>
              <w:rPr>
                <w:i/>
              </w:rPr>
            </w:pPr>
            <w:r w:rsidRPr="00912DCF">
              <w:rPr>
                <w:i/>
              </w:rPr>
              <w:t>(b)  (</w:t>
            </w:r>
            <w:r>
              <w:rPr>
                <w:i/>
              </w:rPr>
              <w:t>10</w:t>
            </w:r>
            <w:r w:rsidRPr="00912DCF">
              <w:rPr>
                <w:i/>
              </w:rPr>
              <w:t>,000)</w:t>
            </w:r>
          </w:p>
        </w:tc>
        <w:tc>
          <w:tcPr>
            <w:tcW w:w="1213" w:type="pct"/>
          </w:tcPr>
          <w:p w14:paraId="3019DB6D" w14:textId="77777777" w:rsidR="00893DC8" w:rsidRPr="00912DCF" w:rsidRDefault="00893DC8" w:rsidP="009A5F9D">
            <w:pPr>
              <w:pStyle w:val="NormalWeb"/>
              <w:tabs>
                <w:tab w:val="decimal" w:pos="1440"/>
              </w:tabs>
              <w:rPr>
                <w:i/>
              </w:rPr>
            </w:pPr>
          </w:p>
        </w:tc>
        <w:tc>
          <w:tcPr>
            <w:tcW w:w="1586" w:type="pct"/>
          </w:tcPr>
          <w:p w14:paraId="6B03B598" w14:textId="77777777" w:rsidR="00893DC8" w:rsidRPr="00912DCF" w:rsidRDefault="00893DC8" w:rsidP="009A5F9D">
            <w:pPr>
              <w:pStyle w:val="NormalWeb"/>
              <w:tabs>
                <w:tab w:val="decimal" w:pos="1440"/>
              </w:tabs>
              <w:rPr>
                <w:i/>
              </w:rPr>
            </w:pPr>
            <w:r w:rsidRPr="00912DCF">
              <w:rPr>
                <w:i/>
              </w:rPr>
              <w:t>(e)      9,000</w:t>
            </w:r>
          </w:p>
        </w:tc>
      </w:tr>
      <w:tr w:rsidR="00893DC8" w:rsidRPr="00912DCF" w14:paraId="1E8B0EF6" w14:textId="77777777" w:rsidTr="0089787C">
        <w:tc>
          <w:tcPr>
            <w:tcW w:w="1082" w:type="pct"/>
            <w:tcBorders>
              <w:right w:val="dashed" w:sz="4" w:space="0" w:color="auto"/>
            </w:tcBorders>
          </w:tcPr>
          <w:p w14:paraId="1078F3B7" w14:textId="77777777" w:rsidR="00893DC8" w:rsidRPr="00912DCF" w:rsidRDefault="00893DC8" w:rsidP="009A5F9D">
            <w:pPr>
              <w:pStyle w:val="NormalWeb"/>
              <w:tabs>
                <w:tab w:val="decimal" w:pos="900"/>
                <w:tab w:val="decimal" w:pos="1260"/>
                <w:tab w:val="decimal" w:pos="1440"/>
              </w:tabs>
              <w:rPr>
                <w:i/>
              </w:rPr>
            </w:pPr>
          </w:p>
        </w:tc>
        <w:tc>
          <w:tcPr>
            <w:tcW w:w="1119" w:type="pct"/>
            <w:tcBorders>
              <w:left w:val="dashed" w:sz="4" w:space="0" w:color="auto"/>
            </w:tcBorders>
          </w:tcPr>
          <w:p w14:paraId="0B2A7BDD" w14:textId="77777777" w:rsidR="00893DC8" w:rsidRPr="00912DCF" w:rsidRDefault="00893DC8" w:rsidP="009A5F9D">
            <w:pPr>
              <w:pStyle w:val="NormalWeb"/>
              <w:tabs>
                <w:tab w:val="decimal" w:pos="1440"/>
              </w:tabs>
              <w:rPr>
                <w:i/>
              </w:rPr>
            </w:pPr>
          </w:p>
        </w:tc>
        <w:tc>
          <w:tcPr>
            <w:tcW w:w="1213" w:type="pct"/>
          </w:tcPr>
          <w:p w14:paraId="77DE9297" w14:textId="77777777" w:rsidR="00893DC8" w:rsidRPr="00912DCF" w:rsidRDefault="00893DC8" w:rsidP="009A5F9D">
            <w:pPr>
              <w:pStyle w:val="NormalWeb"/>
              <w:tabs>
                <w:tab w:val="decimal" w:pos="1440"/>
              </w:tabs>
              <w:rPr>
                <w:i/>
              </w:rPr>
            </w:pPr>
          </w:p>
        </w:tc>
        <w:tc>
          <w:tcPr>
            <w:tcW w:w="1586" w:type="pct"/>
          </w:tcPr>
          <w:p w14:paraId="30AAABBC" w14:textId="77777777" w:rsidR="00893DC8" w:rsidRPr="00912DCF" w:rsidRDefault="00893DC8" w:rsidP="009A5F9D">
            <w:pPr>
              <w:pStyle w:val="NormalWeb"/>
              <w:tabs>
                <w:tab w:val="decimal" w:pos="1440"/>
              </w:tabs>
              <w:rPr>
                <w:i/>
              </w:rPr>
            </w:pPr>
            <w:r w:rsidRPr="00912DCF">
              <w:rPr>
                <w:i/>
              </w:rPr>
              <w:t>(g)      7,000</w:t>
            </w:r>
          </w:p>
        </w:tc>
      </w:tr>
      <w:tr w:rsidR="00893DC8" w:rsidRPr="00912DCF" w14:paraId="3DFFAE1A" w14:textId="77777777" w:rsidTr="0089787C">
        <w:tc>
          <w:tcPr>
            <w:tcW w:w="1082" w:type="pct"/>
            <w:tcBorders>
              <w:right w:val="dashed" w:sz="4" w:space="0" w:color="auto"/>
            </w:tcBorders>
          </w:tcPr>
          <w:p w14:paraId="57C9A7AA" w14:textId="77777777" w:rsidR="00893DC8" w:rsidRPr="00912DCF" w:rsidRDefault="00893DC8" w:rsidP="009A5F9D">
            <w:pPr>
              <w:pStyle w:val="NormalWeb"/>
              <w:tabs>
                <w:tab w:val="decimal" w:pos="900"/>
                <w:tab w:val="decimal" w:pos="1260"/>
                <w:tab w:val="decimal" w:pos="1440"/>
              </w:tabs>
              <w:rPr>
                <w:i/>
              </w:rPr>
            </w:pPr>
          </w:p>
        </w:tc>
        <w:tc>
          <w:tcPr>
            <w:tcW w:w="1119" w:type="pct"/>
            <w:tcBorders>
              <w:left w:val="dashed" w:sz="4" w:space="0" w:color="auto"/>
            </w:tcBorders>
          </w:tcPr>
          <w:p w14:paraId="6E321CB7" w14:textId="77777777" w:rsidR="00893DC8" w:rsidRPr="00912DCF" w:rsidRDefault="00893DC8" w:rsidP="009A5F9D">
            <w:pPr>
              <w:pStyle w:val="NormalWeb"/>
              <w:tabs>
                <w:tab w:val="decimal" w:pos="1440"/>
              </w:tabs>
              <w:rPr>
                <w:i/>
              </w:rPr>
            </w:pPr>
          </w:p>
        </w:tc>
        <w:tc>
          <w:tcPr>
            <w:tcW w:w="1213" w:type="pct"/>
          </w:tcPr>
          <w:p w14:paraId="13849145" w14:textId="77777777" w:rsidR="00893DC8" w:rsidRPr="00912DCF" w:rsidRDefault="00893DC8" w:rsidP="009A5F9D">
            <w:pPr>
              <w:pStyle w:val="NormalWeb"/>
              <w:tabs>
                <w:tab w:val="decimal" w:pos="1440"/>
              </w:tabs>
              <w:rPr>
                <w:i/>
              </w:rPr>
            </w:pPr>
          </w:p>
        </w:tc>
        <w:tc>
          <w:tcPr>
            <w:tcW w:w="1586" w:type="pct"/>
          </w:tcPr>
          <w:p w14:paraId="5FC5B00C" w14:textId="77777777" w:rsidR="00893DC8" w:rsidRPr="00912DCF" w:rsidRDefault="00893DC8" w:rsidP="009A5F9D">
            <w:pPr>
              <w:pStyle w:val="NormalWeb"/>
              <w:tabs>
                <w:tab w:val="decimal" w:pos="1440"/>
              </w:tabs>
              <w:rPr>
                <w:i/>
              </w:rPr>
            </w:pPr>
            <w:r w:rsidRPr="00912DCF">
              <w:rPr>
                <w:i/>
              </w:rPr>
              <w:t>(h)    (11,000)</w:t>
            </w:r>
          </w:p>
        </w:tc>
      </w:tr>
      <w:tr w:rsidR="00893DC8" w:rsidRPr="00912DCF" w14:paraId="365ED560" w14:textId="77777777" w:rsidTr="0089787C">
        <w:tc>
          <w:tcPr>
            <w:tcW w:w="1082" w:type="pct"/>
          </w:tcPr>
          <w:p w14:paraId="14C6EAF2" w14:textId="77777777" w:rsidR="00893DC8" w:rsidRPr="00912DCF" w:rsidRDefault="00893DC8" w:rsidP="009A5F9D">
            <w:pPr>
              <w:pStyle w:val="NormalWeb"/>
              <w:tabs>
                <w:tab w:val="decimal" w:pos="900"/>
                <w:tab w:val="decimal" w:pos="1260"/>
                <w:tab w:val="decimal" w:pos="1440"/>
              </w:tabs>
              <w:rPr>
                <w:i/>
              </w:rPr>
            </w:pPr>
          </w:p>
        </w:tc>
        <w:tc>
          <w:tcPr>
            <w:tcW w:w="1119" w:type="pct"/>
          </w:tcPr>
          <w:p w14:paraId="2E30150A" w14:textId="77777777" w:rsidR="00893DC8" w:rsidRPr="00912DCF" w:rsidRDefault="00893DC8" w:rsidP="009A5F9D">
            <w:pPr>
              <w:pStyle w:val="NormalWeb"/>
              <w:tabs>
                <w:tab w:val="decimal" w:pos="1440"/>
              </w:tabs>
              <w:rPr>
                <w:i/>
              </w:rPr>
            </w:pPr>
          </w:p>
        </w:tc>
        <w:tc>
          <w:tcPr>
            <w:tcW w:w="1213" w:type="pct"/>
          </w:tcPr>
          <w:p w14:paraId="05A3F348" w14:textId="77777777" w:rsidR="00893DC8" w:rsidRPr="00912DCF" w:rsidRDefault="00893DC8" w:rsidP="009A5F9D">
            <w:pPr>
              <w:pStyle w:val="NormalWeb"/>
              <w:tabs>
                <w:tab w:val="decimal" w:pos="1440"/>
              </w:tabs>
              <w:rPr>
                <w:i/>
              </w:rPr>
            </w:pPr>
          </w:p>
        </w:tc>
        <w:tc>
          <w:tcPr>
            <w:tcW w:w="1586" w:type="pct"/>
          </w:tcPr>
          <w:p w14:paraId="7DB8D20A" w14:textId="77777777" w:rsidR="00893DC8" w:rsidRPr="00912DCF" w:rsidRDefault="00893DC8" w:rsidP="009A5F9D">
            <w:pPr>
              <w:pStyle w:val="NormalWeb"/>
              <w:tabs>
                <w:tab w:val="decimal" w:pos="1440"/>
              </w:tabs>
              <w:rPr>
                <w:i/>
              </w:rPr>
            </w:pPr>
          </w:p>
        </w:tc>
      </w:tr>
      <w:tr w:rsidR="00893DC8" w:rsidRPr="00912DCF" w14:paraId="68EF0F15" w14:textId="77777777" w:rsidTr="0089787C">
        <w:tc>
          <w:tcPr>
            <w:tcW w:w="1082" w:type="pct"/>
            <w:tcBorders>
              <w:bottom w:val="single" w:sz="4" w:space="0" w:color="auto"/>
              <w:right w:val="dashed" w:sz="4" w:space="0" w:color="auto"/>
            </w:tcBorders>
          </w:tcPr>
          <w:p w14:paraId="6F2C9492" w14:textId="77777777" w:rsidR="00893DC8" w:rsidRPr="00912DCF" w:rsidRDefault="00893DC8" w:rsidP="009A5F9D">
            <w:pPr>
              <w:pStyle w:val="NormalWeb"/>
              <w:tabs>
                <w:tab w:val="decimal" w:pos="900"/>
                <w:tab w:val="decimal" w:pos="1260"/>
                <w:tab w:val="decimal" w:pos="1440"/>
              </w:tabs>
              <w:rPr>
                <w:i/>
              </w:rPr>
            </w:pPr>
          </w:p>
        </w:tc>
        <w:tc>
          <w:tcPr>
            <w:tcW w:w="1119" w:type="pct"/>
            <w:tcBorders>
              <w:left w:val="dashed" w:sz="4" w:space="0" w:color="auto"/>
              <w:bottom w:val="single" w:sz="4" w:space="0" w:color="auto"/>
            </w:tcBorders>
          </w:tcPr>
          <w:p w14:paraId="1C4C96EF" w14:textId="77777777" w:rsidR="00893DC8" w:rsidRPr="00912DCF" w:rsidRDefault="00893DC8" w:rsidP="009A5F9D">
            <w:pPr>
              <w:pStyle w:val="NormalWeb"/>
              <w:tabs>
                <w:tab w:val="decimal" w:pos="1440"/>
              </w:tabs>
              <w:rPr>
                <w:i/>
              </w:rPr>
            </w:pPr>
          </w:p>
        </w:tc>
        <w:tc>
          <w:tcPr>
            <w:tcW w:w="1213" w:type="pct"/>
            <w:tcBorders>
              <w:bottom w:val="single" w:sz="4" w:space="0" w:color="auto"/>
            </w:tcBorders>
          </w:tcPr>
          <w:p w14:paraId="414705E6" w14:textId="77777777" w:rsidR="00893DC8" w:rsidRPr="00912DCF" w:rsidRDefault="00893DC8" w:rsidP="009A5F9D">
            <w:pPr>
              <w:pStyle w:val="NormalWeb"/>
              <w:tabs>
                <w:tab w:val="decimal" w:pos="1440"/>
              </w:tabs>
              <w:rPr>
                <w:i/>
              </w:rPr>
            </w:pPr>
          </w:p>
        </w:tc>
        <w:tc>
          <w:tcPr>
            <w:tcW w:w="1586" w:type="pct"/>
            <w:tcBorders>
              <w:bottom w:val="single" w:sz="4" w:space="0" w:color="auto"/>
            </w:tcBorders>
          </w:tcPr>
          <w:p w14:paraId="5CBA0F6F" w14:textId="77777777" w:rsidR="00893DC8" w:rsidRPr="00912DCF" w:rsidRDefault="00893DC8" w:rsidP="009A5F9D">
            <w:pPr>
              <w:pStyle w:val="NormalWeb"/>
              <w:tabs>
                <w:tab w:val="decimal" w:pos="1440"/>
              </w:tabs>
              <w:rPr>
                <w:i/>
              </w:rPr>
            </w:pPr>
          </w:p>
        </w:tc>
      </w:tr>
      <w:tr w:rsidR="00893DC8" w:rsidRPr="00912DCF" w14:paraId="2CE98D08" w14:textId="77777777" w:rsidTr="0089787C">
        <w:tc>
          <w:tcPr>
            <w:tcW w:w="1082" w:type="pct"/>
            <w:tcBorders>
              <w:top w:val="single" w:sz="4" w:space="0" w:color="auto"/>
              <w:right w:val="dashed" w:sz="4" w:space="0" w:color="auto"/>
            </w:tcBorders>
          </w:tcPr>
          <w:p w14:paraId="362278D6" w14:textId="77777777" w:rsidR="00893DC8" w:rsidRPr="00912DCF" w:rsidRDefault="001F44C1" w:rsidP="009A5F9D">
            <w:pPr>
              <w:pStyle w:val="NormalWeb"/>
              <w:tabs>
                <w:tab w:val="decimal" w:pos="1260"/>
              </w:tabs>
              <w:rPr>
                <w:i/>
              </w:rPr>
            </w:pPr>
            <w:r w:rsidRPr="00912DCF">
              <w:rPr>
                <w:i/>
              </w:rPr>
              <w:fldChar w:fldCharType="begin"/>
            </w:r>
            <w:r w:rsidR="00893DC8" w:rsidRPr="00912DCF">
              <w:rPr>
                <w:i/>
              </w:rPr>
              <w:instrText xml:space="preserve"> =SUM(above) </w:instrText>
            </w:r>
            <w:r w:rsidRPr="00912DCF">
              <w:rPr>
                <w:i/>
              </w:rPr>
              <w:fldChar w:fldCharType="separate"/>
            </w:r>
            <w:r w:rsidR="00893DC8" w:rsidRPr="00912DCF">
              <w:rPr>
                <w:i/>
              </w:rPr>
              <w:t>(8,000)</w:t>
            </w:r>
            <w:r w:rsidRPr="00912DCF">
              <w:rPr>
                <w:i/>
              </w:rPr>
              <w:fldChar w:fldCharType="end"/>
            </w:r>
          </w:p>
        </w:tc>
        <w:tc>
          <w:tcPr>
            <w:tcW w:w="1119" w:type="pct"/>
            <w:tcBorders>
              <w:top w:val="single" w:sz="4" w:space="0" w:color="auto"/>
              <w:left w:val="dashed" w:sz="4" w:space="0" w:color="auto"/>
            </w:tcBorders>
          </w:tcPr>
          <w:p w14:paraId="63828C45" w14:textId="77777777" w:rsidR="00893DC8" w:rsidRPr="00912DCF" w:rsidRDefault="001F44C1" w:rsidP="009A5F9D">
            <w:pPr>
              <w:tabs>
                <w:tab w:val="decimal" w:pos="1386"/>
              </w:tabs>
              <w:rPr>
                <w:i/>
              </w:rPr>
            </w:pPr>
            <w:r w:rsidRPr="00912DCF">
              <w:rPr>
                <w:i/>
              </w:rPr>
              <w:fldChar w:fldCharType="begin"/>
            </w:r>
            <w:r w:rsidR="00893DC8" w:rsidRPr="00912DCF">
              <w:rPr>
                <w:i/>
              </w:rPr>
              <w:instrText xml:space="preserve"> =SUM(above) \# "$#,##0;($#,##0)" </w:instrText>
            </w:r>
            <w:r w:rsidRPr="00912DCF">
              <w:rPr>
                <w:i/>
              </w:rPr>
              <w:fldChar w:fldCharType="separate"/>
            </w:r>
            <w:r w:rsidR="00893DC8" w:rsidRPr="00912DCF">
              <w:rPr>
                <w:i/>
                <w:noProof/>
              </w:rPr>
              <w:t>$</w:t>
            </w:r>
            <w:r w:rsidR="00893DC8">
              <w:rPr>
                <w:i/>
                <w:noProof/>
              </w:rPr>
              <w:t>10,000</w:t>
            </w:r>
            <w:r w:rsidRPr="00912DCF">
              <w:rPr>
                <w:i/>
              </w:rPr>
              <w:fldChar w:fldCharType="end"/>
            </w:r>
          </w:p>
        </w:tc>
        <w:tc>
          <w:tcPr>
            <w:tcW w:w="1213" w:type="pct"/>
            <w:tcBorders>
              <w:top w:val="single" w:sz="4" w:space="0" w:color="auto"/>
            </w:tcBorders>
          </w:tcPr>
          <w:p w14:paraId="224C2DCD" w14:textId="77777777" w:rsidR="00893DC8" w:rsidRPr="00912DCF" w:rsidRDefault="001F44C1" w:rsidP="009A5F9D">
            <w:pPr>
              <w:tabs>
                <w:tab w:val="decimal" w:pos="1512"/>
              </w:tabs>
              <w:rPr>
                <w:i/>
              </w:rPr>
            </w:pPr>
            <w:r w:rsidRPr="00912DCF">
              <w:rPr>
                <w:i/>
              </w:rPr>
              <w:fldChar w:fldCharType="begin"/>
            </w:r>
            <w:r w:rsidR="00893DC8" w:rsidRPr="00912DCF">
              <w:rPr>
                <w:i/>
              </w:rPr>
              <w:instrText xml:space="preserve"> =SUM(above) \# "$#,##0;($#,##0)" </w:instrText>
            </w:r>
            <w:r w:rsidRPr="00912DCF">
              <w:rPr>
                <w:i/>
              </w:rPr>
              <w:fldChar w:fldCharType="separate"/>
            </w:r>
            <w:r w:rsidR="00893DC8" w:rsidRPr="00912DCF">
              <w:rPr>
                <w:i/>
              </w:rPr>
              <w:t>$8,000</w:t>
            </w:r>
            <w:r w:rsidRPr="00912DCF">
              <w:rPr>
                <w:i/>
              </w:rPr>
              <w:fldChar w:fldCharType="end"/>
            </w:r>
          </w:p>
        </w:tc>
        <w:tc>
          <w:tcPr>
            <w:tcW w:w="1586" w:type="pct"/>
            <w:tcBorders>
              <w:top w:val="single" w:sz="4" w:space="0" w:color="auto"/>
            </w:tcBorders>
          </w:tcPr>
          <w:p w14:paraId="5F85D92D" w14:textId="77777777" w:rsidR="00893DC8" w:rsidRPr="00912DCF" w:rsidRDefault="001F44C1" w:rsidP="009A5F9D">
            <w:pPr>
              <w:tabs>
                <w:tab w:val="decimal" w:pos="1458"/>
              </w:tabs>
              <w:rPr>
                <w:i/>
              </w:rPr>
            </w:pPr>
            <w:r w:rsidRPr="00912DCF">
              <w:rPr>
                <w:i/>
              </w:rPr>
              <w:fldChar w:fldCharType="begin"/>
            </w:r>
            <w:r w:rsidR="00893DC8" w:rsidRPr="00912DCF">
              <w:rPr>
                <w:i/>
              </w:rPr>
              <w:instrText xml:space="preserve"> =SUM(above) \# "$#,##0;($#,##0)" </w:instrText>
            </w:r>
            <w:r w:rsidRPr="00912DCF">
              <w:rPr>
                <w:i/>
              </w:rPr>
              <w:fldChar w:fldCharType="separate"/>
            </w:r>
            <w:r w:rsidR="00893DC8" w:rsidRPr="00912DCF">
              <w:rPr>
                <w:i/>
              </w:rPr>
              <w:t>($7,000)</w:t>
            </w:r>
            <w:r w:rsidRPr="00912DCF">
              <w:rPr>
                <w:i/>
              </w:rPr>
              <w:fldChar w:fldCharType="end"/>
            </w:r>
          </w:p>
        </w:tc>
      </w:tr>
      <w:tr w:rsidR="00893DC8" w:rsidRPr="00912DCF" w14:paraId="760A5DAD" w14:textId="77777777" w:rsidTr="0089787C">
        <w:tc>
          <w:tcPr>
            <w:tcW w:w="1082" w:type="pct"/>
            <w:tcBorders>
              <w:bottom w:val="single" w:sz="4" w:space="0" w:color="auto"/>
              <w:right w:val="dashed" w:sz="4" w:space="0" w:color="auto"/>
            </w:tcBorders>
          </w:tcPr>
          <w:p w14:paraId="16D44526" w14:textId="77777777" w:rsidR="00893DC8" w:rsidRPr="00912DCF" w:rsidRDefault="00893DC8" w:rsidP="009A5F9D">
            <w:pPr>
              <w:pStyle w:val="NormalWeb"/>
              <w:tabs>
                <w:tab w:val="decimal" w:pos="900"/>
                <w:tab w:val="decimal" w:pos="1260"/>
                <w:tab w:val="decimal" w:pos="1440"/>
              </w:tabs>
              <w:rPr>
                <w:i/>
              </w:rPr>
            </w:pPr>
          </w:p>
        </w:tc>
        <w:tc>
          <w:tcPr>
            <w:tcW w:w="1119" w:type="pct"/>
            <w:tcBorders>
              <w:left w:val="dashed" w:sz="4" w:space="0" w:color="auto"/>
              <w:bottom w:val="single" w:sz="4" w:space="0" w:color="auto"/>
            </w:tcBorders>
          </w:tcPr>
          <w:p w14:paraId="686D8317" w14:textId="77777777" w:rsidR="00893DC8" w:rsidRPr="00912DCF" w:rsidRDefault="00077855" w:rsidP="009A5F9D">
            <w:pPr>
              <w:pStyle w:val="NormalWeb"/>
              <w:tabs>
                <w:tab w:val="decimal" w:pos="1440"/>
              </w:tabs>
              <w:rPr>
                <w:i/>
              </w:rPr>
            </w:pPr>
            <w:r>
              <w:rPr>
                <w:noProof/>
              </w:rPr>
              <mc:AlternateContent>
                <mc:Choice Requires="wps">
                  <w:drawing>
                    <wp:anchor distT="4294967292" distB="4294967292" distL="114300" distR="114300" simplePos="0" relativeHeight="251659264" behindDoc="0" locked="0" layoutInCell="1" allowOverlap="1" wp14:anchorId="0C6543DE" wp14:editId="23E95100">
                      <wp:simplePos x="0" y="0"/>
                      <wp:positionH relativeFrom="column">
                        <wp:posOffset>998220</wp:posOffset>
                      </wp:positionH>
                      <wp:positionV relativeFrom="paragraph">
                        <wp:posOffset>86359</wp:posOffset>
                      </wp:positionV>
                      <wp:extent cx="2093595" cy="0"/>
                      <wp:effectExtent l="38100" t="76200" r="0" b="95250"/>
                      <wp:wrapNone/>
                      <wp:docPr id="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3595"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F9218" id="Line 3"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8.6pt,6.8pt" to="243.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">
                      <v:stroke endarrow="block"/>
                    </v:line>
                  </w:pict>
                </mc:Fallback>
              </mc:AlternateContent>
            </w:r>
            <w:r w:rsidR="00893DC8" w:rsidRPr="00912DCF">
              <w:rPr>
                <w:i/>
              </w:rPr>
              <w:t>(7,000)</w:t>
            </w:r>
          </w:p>
        </w:tc>
        <w:tc>
          <w:tcPr>
            <w:tcW w:w="1213" w:type="pct"/>
            <w:tcBorders>
              <w:bottom w:val="single" w:sz="4" w:space="0" w:color="auto"/>
            </w:tcBorders>
          </w:tcPr>
          <w:p w14:paraId="4C4B03B7" w14:textId="77777777" w:rsidR="00893DC8" w:rsidRPr="00912DCF" w:rsidRDefault="00893DC8" w:rsidP="009A5F9D">
            <w:pPr>
              <w:pStyle w:val="NormalWeb"/>
              <w:tabs>
                <w:tab w:val="decimal" w:pos="1440"/>
              </w:tabs>
              <w:rPr>
                <w:i/>
              </w:rPr>
            </w:pPr>
          </w:p>
        </w:tc>
        <w:tc>
          <w:tcPr>
            <w:tcW w:w="1586" w:type="pct"/>
            <w:tcBorders>
              <w:bottom w:val="single" w:sz="4" w:space="0" w:color="auto"/>
            </w:tcBorders>
          </w:tcPr>
          <w:p w14:paraId="74DA4EB5" w14:textId="77777777" w:rsidR="00893DC8" w:rsidRPr="00912DCF" w:rsidRDefault="00893DC8" w:rsidP="009A5F9D">
            <w:pPr>
              <w:pStyle w:val="NormalWeb"/>
              <w:tabs>
                <w:tab w:val="decimal" w:pos="1440"/>
              </w:tabs>
              <w:rPr>
                <w:i/>
              </w:rPr>
            </w:pPr>
            <w:r w:rsidRPr="00912DCF">
              <w:rPr>
                <w:i/>
              </w:rPr>
              <w:t>7,000</w:t>
            </w:r>
          </w:p>
        </w:tc>
      </w:tr>
      <w:tr w:rsidR="00893DC8" w:rsidRPr="00912DCF" w14:paraId="1DB74E73" w14:textId="77777777" w:rsidTr="0089787C">
        <w:tc>
          <w:tcPr>
            <w:tcW w:w="1082" w:type="pct"/>
            <w:tcBorders>
              <w:top w:val="single" w:sz="4" w:space="0" w:color="auto"/>
              <w:right w:val="dashed" w:sz="4" w:space="0" w:color="auto"/>
            </w:tcBorders>
          </w:tcPr>
          <w:p w14:paraId="06B8B3A8" w14:textId="77777777" w:rsidR="00893DC8" w:rsidRPr="00912DCF" w:rsidRDefault="001F44C1" w:rsidP="009A5F9D">
            <w:pPr>
              <w:pStyle w:val="NormalWeb"/>
              <w:tabs>
                <w:tab w:val="decimal" w:pos="900"/>
                <w:tab w:val="decimal" w:pos="1260"/>
                <w:tab w:val="decimal" w:pos="1440"/>
              </w:tabs>
              <w:jc w:val="center"/>
              <w:rPr>
                <w:i/>
              </w:rPr>
            </w:pPr>
            <w:r w:rsidRPr="00912DCF">
              <w:rPr>
                <w:i/>
              </w:rPr>
              <w:fldChar w:fldCharType="begin"/>
            </w:r>
            <w:r w:rsidR="00893DC8" w:rsidRPr="00912DCF">
              <w:rPr>
                <w:i/>
              </w:rPr>
              <w:instrText xml:space="preserve"> =SUM(above) </w:instrText>
            </w:r>
            <w:r w:rsidRPr="00912DCF">
              <w:rPr>
                <w:i/>
              </w:rPr>
              <w:fldChar w:fldCharType="separate"/>
            </w:r>
            <w:r w:rsidR="00893DC8" w:rsidRPr="00912DCF">
              <w:rPr>
                <w:i/>
              </w:rPr>
              <w:t>(8,000)</w:t>
            </w:r>
            <w:r w:rsidRPr="00912DCF">
              <w:rPr>
                <w:i/>
              </w:rPr>
              <w:fldChar w:fldCharType="end"/>
            </w:r>
          </w:p>
        </w:tc>
        <w:tc>
          <w:tcPr>
            <w:tcW w:w="1119" w:type="pct"/>
            <w:tcBorders>
              <w:top w:val="single" w:sz="4" w:space="0" w:color="auto"/>
              <w:left w:val="dashed" w:sz="4" w:space="0" w:color="auto"/>
            </w:tcBorders>
          </w:tcPr>
          <w:p w14:paraId="76D0E69B" w14:textId="77777777" w:rsidR="00893DC8" w:rsidRPr="00912DCF" w:rsidRDefault="001F44C1" w:rsidP="009A5F9D">
            <w:pPr>
              <w:pStyle w:val="NormalWeb"/>
              <w:tabs>
                <w:tab w:val="decimal" w:pos="1440"/>
              </w:tabs>
              <w:rPr>
                <w:i/>
              </w:rPr>
            </w:pPr>
            <w:r w:rsidRPr="00912DCF">
              <w:rPr>
                <w:i/>
              </w:rPr>
              <w:fldChar w:fldCharType="begin"/>
            </w:r>
            <w:r w:rsidR="00893DC8" w:rsidRPr="00912DCF">
              <w:rPr>
                <w:i/>
              </w:rPr>
              <w:instrText xml:space="preserve"> =SUM(ABOVE) \# "$#,##0;($#,##0)" </w:instrText>
            </w:r>
            <w:r w:rsidRPr="00912DCF">
              <w:rPr>
                <w:i/>
              </w:rPr>
              <w:fldChar w:fldCharType="separate"/>
            </w:r>
            <w:r w:rsidR="00893DC8" w:rsidRPr="00912DCF">
              <w:rPr>
                <w:i/>
                <w:noProof/>
              </w:rPr>
              <w:t>$</w:t>
            </w:r>
            <w:r w:rsidR="00893DC8">
              <w:rPr>
                <w:i/>
                <w:noProof/>
              </w:rPr>
              <w:t>3,000</w:t>
            </w:r>
            <w:r w:rsidRPr="00912DCF">
              <w:rPr>
                <w:i/>
              </w:rPr>
              <w:fldChar w:fldCharType="end"/>
            </w:r>
          </w:p>
        </w:tc>
        <w:tc>
          <w:tcPr>
            <w:tcW w:w="1213" w:type="pct"/>
            <w:tcBorders>
              <w:top w:val="single" w:sz="4" w:space="0" w:color="auto"/>
            </w:tcBorders>
          </w:tcPr>
          <w:p w14:paraId="472BB973" w14:textId="77777777" w:rsidR="00893DC8" w:rsidRPr="00912DCF" w:rsidRDefault="001F44C1" w:rsidP="009A5F9D">
            <w:pPr>
              <w:pStyle w:val="NormalWeb"/>
              <w:tabs>
                <w:tab w:val="decimal" w:pos="1512"/>
              </w:tabs>
              <w:spacing w:before="0" w:beforeAutospacing="0" w:after="0" w:afterAutospacing="0"/>
              <w:rPr>
                <w:i/>
              </w:rPr>
            </w:pPr>
            <w:r w:rsidRPr="00912DCF">
              <w:rPr>
                <w:i/>
              </w:rPr>
              <w:fldChar w:fldCharType="begin"/>
            </w:r>
            <w:r w:rsidR="00893DC8" w:rsidRPr="00912DCF">
              <w:rPr>
                <w:i/>
              </w:rPr>
              <w:instrText xml:space="preserve"> =SUM(ABOVE) \# "$#,##0;($#,##0)" </w:instrText>
            </w:r>
            <w:r w:rsidRPr="00912DCF">
              <w:rPr>
                <w:i/>
              </w:rPr>
              <w:fldChar w:fldCharType="separate"/>
            </w:r>
            <w:r w:rsidR="00893DC8" w:rsidRPr="00912DCF">
              <w:rPr>
                <w:i/>
              </w:rPr>
              <w:t>$8,000</w:t>
            </w:r>
            <w:r w:rsidRPr="00912DCF">
              <w:rPr>
                <w:i/>
              </w:rPr>
              <w:fldChar w:fldCharType="end"/>
            </w:r>
          </w:p>
        </w:tc>
        <w:tc>
          <w:tcPr>
            <w:tcW w:w="1586" w:type="pct"/>
            <w:tcBorders>
              <w:top w:val="single" w:sz="4" w:space="0" w:color="auto"/>
            </w:tcBorders>
          </w:tcPr>
          <w:p w14:paraId="73765567" w14:textId="77777777" w:rsidR="00893DC8" w:rsidRPr="00912DCF" w:rsidRDefault="001F44C1" w:rsidP="009A5F9D">
            <w:pPr>
              <w:pStyle w:val="NormalWeb"/>
              <w:tabs>
                <w:tab w:val="decimal" w:pos="1458"/>
              </w:tabs>
              <w:spacing w:before="0" w:beforeAutospacing="0" w:after="0" w:afterAutospacing="0"/>
              <w:rPr>
                <w:i/>
              </w:rPr>
            </w:pPr>
            <w:r w:rsidRPr="00912DCF">
              <w:rPr>
                <w:i/>
              </w:rPr>
              <w:fldChar w:fldCharType="begin"/>
            </w:r>
            <w:r w:rsidR="00893DC8" w:rsidRPr="00912DCF">
              <w:rPr>
                <w:i/>
              </w:rPr>
              <w:instrText xml:space="preserve"> =SUM(ABOVE) \# "$#,##0;($#,##0)" </w:instrText>
            </w:r>
            <w:r w:rsidRPr="00912DCF">
              <w:rPr>
                <w:i/>
              </w:rPr>
              <w:fldChar w:fldCharType="separate"/>
            </w:r>
            <w:r w:rsidR="00893DC8" w:rsidRPr="00912DCF">
              <w:rPr>
                <w:i/>
              </w:rPr>
              <w:t>$   0</w:t>
            </w:r>
            <w:r w:rsidRPr="00912DCF">
              <w:rPr>
                <w:i/>
              </w:rPr>
              <w:fldChar w:fldCharType="end"/>
            </w:r>
          </w:p>
        </w:tc>
      </w:tr>
      <w:tr w:rsidR="00893DC8" w:rsidRPr="00912DCF" w14:paraId="040476A9" w14:textId="77777777" w:rsidTr="0089787C">
        <w:tc>
          <w:tcPr>
            <w:tcW w:w="1082" w:type="pct"/>
            <w:tcBorders>
              <w:bottom w:val="single" w:sz="4" w:space="0" w:color="auto"/>
              <w:right w:val="dashed" w:sz="4" w:space="0" w:color="auto"/>
            </w:tcBorders>
          </w:tcPr>
          <w:p w14:paraId="1C495956" w14:textId="77777777" w:rsidR="00893DC8" w:rsidRPr="00912DCF" w:rsidRDefault="00077855" w:rsidP="009A5F9D">
            <w:pPr>
              <w:pStyle w:val="NormalWeb"/>
              <w:tabs>
                <w:tab w:val="decimal" w:pos="1260"/>
                <w:tab w:val="decimal" w:pos="1620"/>
              </w:tabs>
              <w:jc w:val="both"/>
              <w:rPr>
                <w:i/>
              </w:rPr>
            </w:pPr>
            <w:r>
              <w:rPr>
                <w:noProof/>
              </w:rPr>
              <mc:AlternateContent>
                <mc:Choice Requires="wps">
                  <w:drawing>
                    <wp:anchor distT="4294967292" distB="4294967292" distL="114300" distR="114300" simplePos="0" relativeHeight="251660288" behindDoc="0" locked="0" layoutInCell="1" allowOverlap="1" wp14:anchorId="48D52D10" wp14:editId="352EA444">
                      <wp:simplePos x="0" y="0"/>
                      <wp:positionH relativeFrom="column">
                        <wp:posOffset>914400</wp:posOffset>
                      </wp:positionH>
                      <wp:positionV relativeFrom="paragraph">
                        <wp:posOffset>100329</wp:posOffset>
                      </wp:positionV>
                      <wp:extent cx="754380" cy="0"/>
                      <wp:effectExtent l="0" t="76200" r="26670" b="95250"/>
                      <wp:wrapNone/>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58EEE" id="Line 4"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in,7.9pt" to="131.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">
                      <v:stroke endarrow="block"/>
                    </v:line>
                  </w:pict>
                </mc:Fallback>
              </mc:AlternateContent>
            </w:r>
            <w:r w:rsidR="00893DC8" w:rsidRPr="00912DCF">
              <w:rPr>
                <w:i/>
              </w:rPr>
              <w:tab/>
              <w:t>8,000</w:t>
            </w:r>
          </w:p>
        </w:tc>
        <w:tc>
          <w:tcPr>
            <w:tcW w:w="1119" w:type="pct"/>
            <w:tcBorders>
              <w:left w:val="dashed" w:sz="4" w:space="0" w:color="auto"/>
              <w:bottom w:val="single" w:sz="4" w:space="0" w:color="auto"/>
            </w:tcBorders>
          </w:tcPr>
          <w:p w14:paraId="44F4FDA0" w14:textId="77777777" w:rsidR="00893DC8" w:rsidRPr="00912DCF" w:rsidRDefault="00077855" w:rsidP="00893DC8">
            <w:pPr>
              <w:pStyle w:val="NormalWeb"/>
              <w:tabs>
                <w:tab w:val="decimal" w:pos="1440"/>
              </w:tabs>
              <w:rPr>
                <w:i/>
              </w:rPr>
            </w:pPr>
            <w:r>
              <w:rPr>
                <w:noProof/>
              </w:rPr>
              <mc:AlternateContent>
                <mc:Choice Requires="wps">
                  <w:drawing>
                    <wp:anchor distT="4294967292" distB="4294967292" distL="114300" distR="114300" simplePos="0" relativeHeight="251661312" behindDoc="0" locked="0" layoutInCell="1" allowOverlap="1" wp14:anchorId="59609C4B" wp14:editId="6A58D00C">
                      <wp:simplePos x="0" y="0"/>
                      <wp:positionH relativeFrom="column">
                        <wp:posOffset>998220</wp:posOffset>
                      </wp:positionH>
                      <wp:positionV relativeFrom="paragraph">
                        <wp:posOffset>100329</wp:posOffset>
                      </wp:positionV>
                      <wp:extent cx="754380" cy="0"/>
                      <wp:effectExtent l="0" t="76200" r="26670" b="95250"/>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110F4" id="Line 4"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8.6pt,7.9pt" to="13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">
                      <v:stroke endarrow="block"/>
                    </v:line>
                  </w:pict>
                </mc:Fallback>
              </mc:AlternateContent>
            </w:r>
            <w:r w:rsidR="00893DC8" w:rsidRPr="00912DCF">
              <w:rPr>
                <w:i/>
              </w:rPr>
              <w:t>(</w:t>
            </w:r>
            <w:r w:rsidR="00893DC8">
              <w:rPr>
                <w:i/>
              </w:rPr>
              <w:t>3</w:t>
            </w:r>
            <w:r w:rsidR="00893DC8" w:rsidRPr="00912DCF">
              <w:rPr>
                <w:i/>
              </w:rPr>
              <w:t>,000)</w:t>
            </w:r>
          </w:p>
        </w:tc>
        <w:tc>
          <w:tcPr>
            <w:tcW w:w="1213" w:type="pct"/>
            <w:tcBorders>
              <w:bottom w:val="single" w:sz="4" w:space="0" w:color="auto"/>
            </w:tcBorders>
          </w:tcPr>
          <w:p w14:paraId="05B2C49C" w14:textId="77777777" w:rsidR="00893DC8" w:rsidRPr="00912DCF" w:rsidRDefault="00893DC8" w:rsidP="009A5F9D">
            <w:pPr>
              <w:pStyle w:val="NormalWeb"/>
              <w:tabs>
                <w:tab w:val="decimal" w:pos="1512"/>
              </w:tabs>
              <w:spacing w:before="0" w:beforeAutospacing="0" w:after="0" w:afterAutospacing="0"/>
              <w:rPr>
                <w:i/>
              </w:rPr>
            </w:pPr>
            <w:r>
              <w:rPr>
                <w:i/>
              </w:rPr>
              <w:t>(5,000)</w:t>
            </w:r>
          </w:p>
        </w:tc>
        <w:tc>
          <w:tcPr>
            <w:tcW w:w="1586" w:type="pct"/>
            <w:tcBorders>
              <w:bottom w:val="single" w:sz="4" w:space="0" w:color="auto"/>
            </w:tcBorders>
          </w:tcPr>
          <w:p w14:paraId="362D5436" w14:textId="77777777" w:rsidR="00893DC8" w:rsidRPr="00912DCF" w:rsidRDefault="00893DC8" w:rsidP="009A5F9D">
            <w:pPr>
              <w:tabs>
                <w:tab w:val="decimal" w:pos="1458"/>
              </w:tabs>
              <w:rPr>
                <w:i/>
              </w:rPr>
            </w:pPr>
          </w:p>
        </w:tc>
      </w:tr>
      <w:tr w:rsidR="00893DC8" w:rsidRPr="00912DCF" w14:paraId="6CA8CCD2" w14:textId="77777777" w:rsidTr="0089787C">
        <w:tc>
          <w:tcPr>
            <w:tcW w:w="1082" w:type="pct"/>
            <w:tcBorders>
              <w:top w:val="single" w:sz="4" w:space="0" w:color="auto"/>
              <w:right w:val="dashed" w:sz="4" w:space="0" w:color="auto"/>
            </w:tcBorders>
          </w:tcPr>
          <w:p w14:paraId="3A48D91B" w14:textId="77777777" w:rsidR="00893DC8" w:rsidRPr="00912DCF" w:rsidRDefault="00893DC8" w:rsidP="009A5F9D">
            <w:pPr>
              <w:pStyle w:val="NormalWeb"/>
              <w:tabs>
                <w:tab w:val="decimal" w:pos="1260"/>
                <w:tab w:val="decimal" w:pos="1620"/>
              </w:tabs>
              <w:jc w:val="both"/>
              <w:rPr>
                <w:i/>
              </w:rPr>
            </w:pPr>
            <w:r w:rsidRPr="00912DCF">
              <w:rPr>
                <w:i/>
              </w:rPr>
              <w:tab/>
            </w:r>
            <w:r w:rsidR="001F44C1" w:rsidRPr="00912DCF">
              <w:rPr>
                <w:i/>
              </w:rPr>
              <w:fldChar w:fldCharType="begin"/>
            </w:r>
            <w:r w:rsidRPr="00912DCF">
              <w:rPr>
                <w:i/>
              </w:rPr>
              <w:instrText xml:space="preserve"> =SUM(ABOVE) \# "$#,##0;($#,##0)" </w:instrText>
            </w:r>
            <w:r w:rsidR="001F44C1" w:rsidRPr="00912DCF">
              <w:rPr>
                <w:i/>
              </w:rPr>
              <w:fldChar w:fldCharType="separate"/>
            </w:r>
            <w:r w:rsidRPr="00912DCF">
              <w:rPr>
                <w:i/>
              </w:rPr>
              <w:t>$   0</w:t>
            </w:r>
            <w:r w:rsidR="001F44C1" w:rsidRPr="00912DCF">
              <w:rPr>
                <w:i/>
              </w:rPr>
              <w:fldChar w:fldCharType="end"/>
            </w:r>
          </w:p>
        </w:tc>
        <w:tc>
          <w:tcPr>
            <w:tcW w:w="1119" w:type="pct"/>
            <w:tcBorders>
              <w:top w:val="single" w:sz="4" w:space="0" w:color="auto"/>
              <w:left w:val="dashed" w:sz="4" w:space="0" w:color="auto"/>
            </w:tcBorders>
          </w:tcPr>
          <w:p w14:paraId="17BDC4FE" w14:textId="77777777" w:rsidR="00893DC8" w:rsidRPr="00912DCF" w:rsidRDefault="001F44C1" w:rsidP="009A5F9D">
            <w:pPr>
              <w:pStyle w:val="NormalWeb"/>
              <w:tabs>
                <w:tab w:val="decimal" w:pos="1386"/>
              </w:tabs>
              <w:jc w:val="both"/>
              <w:rPr>
                <w:i/>
              </w:rPr>
            </w:pPr>
            <w:r w:rsidRPr="00912DCF">
              <w:rPr>
                <w:i/>
              </w:rPr>
              <w:fldChar w:fldCharType="begin"/>
            </w:r>
            <w:r w:rsidR="00893DC8" w:rsidRPr="00912DCF">
              <w:rPr>
                <w:i/>
              </w:rPr>
              <w:instrText xml:space="preserve"> =SUM(ABOVE) \# "$#,##0;($#,##0)" </w:instrText>
            </w:r>
            <w:r w:rsidRPr="00912DCF">
              <w:rPr>
                <w:i/>
              </w:rPr>
              <w:fldChar w:fldCharType="separate"/>
            </w:r>
            <w:r w:rsidR="00893DC8" w:rsidRPr="00912DCF">
              <w:rPr>
                <w:i/>
              </w:rPr>
              <w:t>$   0</w:t>
            </w:r>
            <w:r w:rsidRPr="00912DCF">
              <w:rPr>
                <w:i/>
              </w:rPr>
              <w:fldChar w:fldCharType="end"/>
            </w:r>
          </w:p>
        </w:tc>
        <w:tc>
          <w:tcPr>
            <w:tcW w:w="1213" w:type="pct"/>
            <w:tcBorders>
              <w:top w:val="single" w:sz="4" w:space="0" w:color="auto"/>
            </w:tcBorders>
          </w:tcPr>
          <w:p w14:paraId="663AF221" w14:textId="77777777" w:rsidR="00893DC8" w:rsidRPr="00912DCF" w:rsidRDefault="00893DC8" w:rsidP="009A5F9D">
            <w:pPr>
              <w:pStyle w:val="NormalWeb"/>
              <w:tabs>
                <w:tab w:val="decimal" w:pos="1512"/>
                <w:tab w:val="decimal" w:pos="1620"/>
              </w:tabs>
              <w:jc w:val="both"/>
              <w:rPr>
                <w:i/>
              </w:rPr>
            </w:pPr>
            <w:r w:rsidRPr="00912DCF">
              <w:rPr>
                <w:i/>
              </w:rPr>
              <w:tab/>
            </w:r>
            <w:r w:rsidR="001F44C1" w:rsidRPr="00912DCF">
              <w:rPr>
                <w:i/>
              </w:rPr>
              <w:fldChar w:fldCharType="begin"/>
            </w:r>
            <w:r w:rsidRPr="00912DCF">
              <w:rPr>
                <w:i/>
              </w:rPr>
              <w:instrText xml:space="preserve"> =SUM(ABOVE) \# "$#,##0;($#,##0)" </w:instrText>
            </w:r>
            <w:r w:rsidR="001F44C1" w:rsidRPr="00912DCF">
              <w:rPr>
                <w:i/>
              </w:rPr>
              <w:fldChar w:fldCharType="separate"/>
            </w:r>
            <w:r w:rsidRPr="00912DCF">
              <w:rPr>
                <w:i/>
              </w:rPr>
              <w:t>$3,000</w:t>
            </w:r>
            <w:r w:rsidR="001F44C1" w:rsidRPr="00912DCF">
              <w:rPr>
                <w:i/>
              </w:rPr>
              <w:fldChar w:fldCharType="end"/>
            </w:r>
          </w:p>
        </w:tc>
        <w:tc>
          <w:tcPr>
            <w:tcW w:w="1586" w:type="pct"/>
            <w:tcBorders>
              <w:top w:val="single" w:sz="4" w:space="0" w:color="auto"/>
            </w:tcBorders>
          </w:tcPr>
          <w:p w14:paraId="7E67BC1E" w14:textId="77777777" w:rsidR="00893DC8" w:rsidRPr="00912DCF" w:rsidRDefault="00893DC8" w:rsidP="009A5F9D">
            <w:pPr>
              <w:pStyle w:val="NormalWeb"/>
              <w:tabs>
                <w:tab w:val="decimal" w:pos="1458"/>
                <w:tab w:val="decimal" w:pos="1620"/>
              </w:tabs>
              <w:jc w:val="both"/>
              <w:rPr>
                <w:i/>
              </w:rPr>
            </w:pPr>
            <w:r w:rsidRPr="00912DCF">
              <w:rPr>
                <w:i/>
              </w:rPr>
              <w:tab/>
            </w:r>
            <w:r w:rsidR="001F44C1" w:rsidRPr="00912DCF">
              <w:rPr>
                <w:i/>
              </w:rPr>
              <w:fldChar w:fldCharType="begin"/>
            </w:r>
            <w:r w:rsidRPr="00912DCF">
              <w:rPr>
                <w:i/>
              </w:rPr>
              <w:instrText xml:space="preserve"> =SUM(ABOVE) \# "$#,##0;($#,##0)" </w:instrText>
            </w:r>
            <w:r w:rsidR="001F44C1" w:rsidRPr="00912DCF">
              <w:rPr>
                <w:i/>
              </w:rPr>
              <w:fldChar w:fldCharType="separate"/>
            </w:r>
            <w:r w:rsidRPr="00912DCF">
              <w:rPr>
                <w:i/>
              </w:rPr>
              <w:t>$   0</w:t>
            </w:r>
            <w:r w:rsidR="001F44C1" w:rsidRPr="00912DCF">
              <w:rPr>
                <w:i/>
              </w:rPr>
              <w:fldChar w:fldCharType="end"/>
            </w:r>
          </w:p>
        </w:tc>
      </w:tr>
    </w:tbl>
    <w:p w14:paraId="22C6934B" w14:textId="77777777" w:rsidR="00745022" w:rsidRDefault="00745022" w:rsidP="00912DCF">
      <w:pPr>
        <w:pStyle w:val="NormalWeb"/>
        <w:spacing w:before="0" w:beforeAutospacing="0" w:after="0" w:afterAutospacing="0"/>
        <w:rPr>
          <w:i/>
        </w:rPr>
      </w:pPr>
    </w:p>
    <w:p w14:paraId="370D7997" w14:textId="10407F91" w:rsidR="00745022" w:rsidRPr="0089787C" w:rsidRDefault="00FA6CBC" w:rsidP="00912DCF">
      <w:pPr>
        <w:pStyle w:val="NormalWeb"/>
        <w:spacing w:before="0" w:beforeAutospacing="0" w:after="0" w:afterAutospacing="0"/>
        <w:rPr>
          <w:i/>
          <w:u w:val="single"/>
        </w:rPr>
      </w:pPr>
      <w:r>
        <w:rPr>
          <w:i/>
          <w:u w:val="single"/>
        </w:rPr>
        <w:t xml:space="preserve">2018 </w:t>
      </w:r>
      <w:r w:rsidR="00745022" w:rsidRPr="0089787C">
        <w:rPr>
          <w:i/>
          <w:u w:val="single"/>
        </w:rPr>
        <w:t>Taxable Income:</w:t>
      </w:r>
    </w:p>
    <w:p w14:paraId="1AFE6B6D" w14:textId="77777777" w:rsidR="00745022" w:rsidRPr="00912DCF" w:rsidRDefault="00745022" w:rsidP="00912DCF">
      <w:pPr>
        <w:pStyle w:val="NormalWeb"/>
        <w:tabs>
          <w:tab w:val="right" w:pos="2340"/>
        </w:tabs>
        <w:spacing w:before="0" w:beforeAutospacing="0" w:after="0" w:afterAutospacing="0"/>
        <w:rPr>
          <w:i/>
        </w:rPr>
      </w:pPr>
      <w:r w:rsidRPr="00912DCF">
        <w:rPr>
          <w:i/>
        </w:rPr>
        <w:t>TI b/4</w:t>
      </w:r>
      <w:r w:rsidRPr="00912DCF">
        <w:rPr>
          <w:i/>
        </w:rPr>
        <w:tab/>
        <w:t>$200,000</w:t>
      </w:r>
    </w:p>
    <w:p w14:paraId="2D6BF8B5" w14:textId="77777777" w:rsidR="00745022" w:rsidRPr="00912DCF" w:rsidRDefault="00745022" w:rsidP="00912DCF">
      <w:pPr>
        <w:pStyle w:val="NormalWeb"/>
        <w:tabs>
          <w:tab w:val="right" w:pos="2340"/>
        </w:tabs>
        <w:spacing w:before="0" w:beforeAutospacing="0" w:after="0" w:afterAutospacing="0"/>
        <w:rPr>
          <w:i/>
        </w:rPr>
      </w:pPr>
      <w:r>
        <w:rPr>
          <w:i/>
        </w:rPr>
        <w:t xml:space="preserve">Qual. </w:t>
      </w:r>
      <w:r w:rsidRPr="00912DCF">
        <w:rPr>
          <w:i/>
        </w:rPr>
        <w:t>Dividend</w:t>
      </w:r>
      <w:r>
        <w:rPr>
          <w:i/>
        </w:rPr>
        <w:t xml:space="preserve">        </w:t>
      </w:r>
      <w:r w:rsidRPr="00912DCF">
        <w:rPr>
          <w:i/>
        </w:rPr>
        <w:t>500</w:t>
      </w:r>
    </w:p>
    <w:p w14:paraId="223115DE" w14:textId="77777777" w:rsidR="00745022" w:rsidRPr="00912DCF" w:rsidRDefault="00745022" w:rsidP="00912DCF">
      <w:pPr>
        <w:pStyle w:val="NormalWeb"/>
        <w:tabs>
          <w:tab w:val="right" w:pos="2340"/>
        </w:tabs>
        <w:spacing w:before="0" w:beforeAutospacing="0" w:after="0" w:afterAutospacing="0"/>
        <w:rPr>
          <w:i/>
        </w:rPr>
      </w:pPr>
      <w:r w:rsidRPr="00912DCF">
        <w:rPr>
          <w:i/>
        </w:rPr>
        <w:t>LTCG</w:t>
      </w:r>
      <w:r>
        <w:rPr>
          <w:i/>
        </w:rPr>
        <w:t xml:space="preserve"> 25%</w:t>
      </w:r>
      <w:r w:rsidRPr="00912DCF">
        <w:rPr>
          <w:i/>
        </w:rPr>
        <w:tab/>
      </w:r>
      <w:r w:rsidRPr="0089787C">
        <w:rPr>
          <w:i/>
          <w:u w:val="single"/>
        </w:rPr>
        <w:t>3,000</w:t>
      </w:r>
    </w:p>
    <w:p w14:paraId="50209E85" w14:textId="77777777" w:rsidR="00745022" w:rsidRPr="00912DCF" w:rsidRDefault="00745022" w:rsidP="00912DCF">
      <w:pPr>
        <w:pStyle w:val="NormalWeb"/>
        <w:tabs>
          <w:tab w:val="right" w:pos="2340"/>
        </w:tabs>
        <w:spacing w:before="0" w:beforeAutospacing="0" w:after="0" w:afterAutospacing="0"/>
        <w:rPr>
          <w:i/>
        </w:rPr>
      </w:pPr>
      <w:r w:rsidRPr="00912DCF">
        <w:rPr>
          <w:i/>
        </w:rPr>
        <w:t>Taxable Inc</w:t>
      </w:r>
      <w:r w:rsidRPr="00912DCF">
        <w:rPr>
          <w:i/>
        </w:rPr>
        <w:tab/>
        <w:t>$203,500</w:t>
      </w:r>
    </w:p>
    <w:p w14:paraId="65DAAEAD" w14:textId="0D4E7772" w:rsidR="00620102" w:rsidRDefault="00620102" w:rsidP="00C04668">
      <w:pPr>
        <w:outlineLvl w:val="0"/>
        <w:rPr>
          <w:i/>
        </w:rPr>
      </w:pPr>
    </w:p>
    <w:p w14:paraId="1973C796" w14:textId="77777777" w:rsidR="00620102" w:rsidRDefault="00620102" w:rsidP="00C04668">
      <w:pPr>
        <w:outlineLvl w:val="0"/>
        <w:rPr>
          <w:i/>
        </w:rPr>
      </w:pPr>
    </w:p>
    <w:p w14:paraId="33272F21" w14:textId="605FF700" w:rsidR="0089787C" w:rsidRPr="0089787C" w:rsidRDefault="00FA6CBC" w:rsidP="0089787C">
      <w:pPr>
        <w:pStyle w:val="NormalWeb"/>
        <w:spacing w:before="0" w:beforeAutospacing="0" w:after="0" w:afterAutospacing="0"/>
        <w:rPr>
          <w:i/>
          <w:u w:val="single"/>
        </w:rPr>
      </w:pPr>
      <w:r w:rsidRPr="006B18B3">
        <w:rPr>
          <w:i/>
          <w:u w:val="single"/>
        </w:rPr>
        <w:t xml:space="preserve">2018 </w:t>
      </w:r>
      <w:r w:rsidR="0089787C" w:rsidRPr="006B18B3">
        <w:rPr>
          <w:i/>
          <w:u w:val="single"/>
        </w:rPr>
        <w:t>Tax Liability:</w:t>
      </w:r>
    </w:p>
    <w:p w14:paraId="0147C7D4" w14:textId="47B4A7F6" w:rsidR="0089787C" w:rsidRPr="0089787C" w:rsidRDefault="0089787C" w:rsidP="00F76BCF">
      <w:pPr>
        <w:pStyle w:val="NormalWeb"/>
        <w:tabs>
          <w:tab w:val="left" w:pos="720"/>
          <w:tab w:val="left" w:pos="2160"/>
          <w:tab w:val="right" w:pos="7740"/>
        </w:tabs>
        <w:spacing w:before="0" w:beforeAutospacing="0" w:after="0" w:afterAutospacing="0"/>
        <w:rPr>
          <w:i/>
        </w:rPr>
      </w:pPr>
      <w:r w:rsidRPr="00111170">
        <w:rPr>
          <w:i/>
        </w:rPr>
        <w:t>Ordinary Income:</w:t>
      </w:r>
      <w:r w:rsidRPr="00111170">
        <w:rPr>
          <w:i/>
        </w:rPr>
        <w:tab/>
        <w:t>$</w:t>
      </w:r>
      <w:r w:rsidR="00620102">
        <w:rPr>
          <w:i/>
        </w:rPr>
        <w:t>28,179</w:t>
      </w:r>
      <w:r w:rsidRPr="00111170">
        <w:rPr>
          <w:i/>
        </w:rPr>
        <w:t xml:space="preserve"> + </w:t>
      </w:r>
      <w:r w:rsidR="00620102">
        <w:rPr>
          <w:i/>
        </w:rPr>
        <w:t>24</w:t>
      </w:r>
      <w:r w:rsidRPr="00111170">
        <w:rPr>
          <w:i/>
        </w:rPr>
        <w:t xml:space="preserve">% </w:t>
      </w:r>
      <w:r w:rsidR="00007FF9" w:rsidRPr="00111170">
        <w:rPr>
          <w:i/>
        </w:rPr>
        <w:t xml:space="preserve">× </w:t>
      </w:r>
      <w:r w:rsidRPr="00111170">
        <w:rPr>
          <w:i/>
        </w:rPr>
        <w:t>($200,000-</w:t>
      </w:r>
      <w:r w:rsidR="00620102">
        <w:rPr>
          <w:i/>
        </w:rPr>
        <w:t>165</w:t>
      </w:r>
      <w:r w:rsidR="00242D39">
        <w:rPr>
          <w:i/>
        </w:rPr>
        <w:t>,</w:t>
      </w:r>
      <w:r w:rsidR="00620102">
        <w:rPr>
          <w:i/>
        </w:rPr>
        <w:t>000</w:t>
      </w:r>
      <w:r w:rsidRPr="00111170">
        <w:rPr>
          <w:i/>
        </w:rPr>
        <w:t>) =</w:t>
      </w:r>
      <w:r w:rsidRPr="00111170">
        <w:rPr>
          <w:i/>
        </w:rPr>
        <w:tab/>
        <w:t xml:space="preserve">  $</w:t>
      </w:r>
      <w:r w:rsidR="00620102">
        <w:rPr>
          <w:i/>
        </w:rPr>
        <w:t>36,579</w:t>
      </w:r>
    </w:p>
    <w:p w14:paraId="39C9C464" w14:textId="3BF634B3" w:rsidR="0089787C" w:rsidRPr="0089787C" w:rsidRDefault="0089787C" w:rsidP="00F76BCF">
      <w:pPr>
        <w:pStyle w:val="NormalWeb"/>
        <w:tabs>
          <w:tab w:val="left" w:pos="600"/>
          <w:tab w:val="left" w:pos="2160"/>
          <w:tab w:val="right" w:pos="4440"/>
          <w:tab w:val="right" w:pos="7740"/>
        </w:tabs>
        <w:spacing w:before="0" w:beforeAutospacing="0" w:after="0" w:afterAutospacing="0"/>
        <w:rPr>
          <w:i/>
        </w:rPr>
      </w:pPr>
      <w:r w:rsidRPr="0089787C">
        <w:rPr>
          <w:i/>
        </w:rPr>
        <w:t>Capital Gains:</w:t>
      </w:r>
      <w:r w:rsidR="00F41CA7">
        <w:rPr>
          <w:i/>
        </w:rPr>
        <w:t>*</w:t>
      </w:r>
      <w:r w:rsidRPr="0089787C">
        <w:rPr>
          <w:i/>
        </w:rPr>
        <w:tab/>
        <w:t>+ 2</w:t>
      </w:r>
      <w:r w:rsidR="00620102">
        <w:rPr>
          <w:i/>
        </w:rPr>
        <w:t>4</w:t>
      </w:r>
      <w:r w:rsidRPr="0089787C">
        <w:rPr>
          <w:i/>
        </w:rPr>
        <w:t xml:space="preserve">% </w:t>
      </w:r>
      <w:r w:rsidR="00007FF9">
        <w:rPr>
          <w:i/>
        </w:rPr>
        <w:t>×</w:t>
      </w:r>
      <w:r w:rsidR="00007FF9" w:rsidRPr="0089787C">
        <w:rPr>
          <w:i/>
        </w:rPr>
        <w:t xml:space="preserve"> </w:t>
      </w:r>
      <w:r w:rsidRPr="0089787C">
        <w:rPr>
          <w:i/>
        </w:rPr>
        <w:t>$3,000</w:t>
      </w:r>
      <w:r w:rsidR="00620102">
        <w:rPr>
          <w:i/>
        </w:rPr>
        <w:t xml:space="preserve"> 25% gains</w:t>
      </w:r>
      <w:r w:rsidRPr="0089787C">
        <w:rPr>
          <w:i/>
        </w:rPr>
        <w:t xml:space="preserve"> =</w:t>
      </w:r>
      <w:r w:rsidR="00620102">
        <w:rPr>
          <w:i/>
        </w:rPr>
        <w:t xml:space="preserve"> </w:t>
      </w:r>
      <w:r w:rsidRPr="0089787C">
        <w:rPr>
          <w:i/>
        </w:rPr>
        <w:t xml:space="preserve">      </w:t>
      </w:r>
      <w:r w:rsidRPr="0089787C">
        <w:rPr>
          <w:i/>
        </w:rPr>
        <w:tab/>
      </w:r>
      <w:r w:rsidR="00F76BCF">
        <w:rPr>
          <w:i/>
        </w:rPr>
        <w:t xml:space="preserve">  </w:t>
      </w:r>
      <w:r w:rsidRPr="0089787C">
        <w:rPr>
          <w:i/>
        </w:rPr>
        <w:t>7</w:t>
      </w:r>
      <w:r w:rsidR="00F41CA7">
        <w:rPr>
          <w:i/>
        </w:rPr>
        <w:t>2</w:t>
      </w:r>
      <w:r w:rsidRPr="0089787C">
        <w:rPr>
          <w:i/>
        </w:rPr>
        <w:t>0</w:t>
      </w:r>
    </w:p>
    <w:p w14:paraId="0C8008E6" w14:textId="08841F81" w:rsidR="0089787C" w:rsidRPr="0089787C" w:rsidRDefault="0089787C" w:rsidP="00F76BCF">
      <w:pPr>
        <w:pStyle w:val="NormalWeb"/>
        <w:tabs>
          <w:tab w:val="left" w:pos="720"/>
          <w:tab w:val="left" w:pos="2160"/>
          <w:tab w:val="right" w:pos="4440"/>
          <w:tab w:val="right" w:pos="7740"/>
        </w:tabs>
        <w:spacing w:before="0" w:beforeAutospacing="0" w:after="0" w:afterAutospacing="0"/>
        <w:rPr>
          <w:i/>
        </w:rPr>
      </w:pPr>
      <w:r w:rsidRPr="0089787C">
        <w:rPr>
          <w:i/>
        </w:rPr>
        <w:t>Dividends:</w:t>
      </w:r>
      <w:r w:rsidR="00F41CA7">
        <w:rPr>
          <w:i/>
        </w:rPr>
        <w:t>**</w:t>
      </w:r>
      <w:r w:rsidRPr="0089787C">
        <w:rPr>
          <w:i/>
        </w:rPr>
        <w:tab/>
        <w:t xml:space="preserve">+ 15% </w:t>
      </w:r>
      <w:r w:rsidR="00007FF9">
        <w:rPr>
          <w:i/>
        </w:rPr>
        <w:t xml:space="preserve">× </w:t>
      </w:r>
      <w:r w:rsidRPr="0089787C">
        <w:rPr>
          <w:i/>
        </w:rPr>
        <w:t>$500 =</w:t>
      </w:r>
      <w:r w:rsidRPr="0089787C">
        <w:rPr>
          <w:i/>
        </w:rPr>
        <w:tab/>
      </w:r>
      <w:r w:rsidRPr="0089787C">
        <w:rPr>
          <w:i/>
        </w:rPr>
        <w:tab/>
      </w:r>
      <w:r w:rsidRPr="0089787C">
        <w:rPr>
          <w:i/>
          <w:u w:val="single"/>
        </w:rPr>
        <w:t>75</w:t>
      </w:r>
    </w:p>
    <w:p w14:paraId="26E212F5" w14:textId="7F99146A" w:rsidR="0089787C" w:rsidRPr="00912DCF" w:rsidRDefault="0089787C" w:rsidP="00F76BCF">
      <w:pPr>
        <w:pStyle w:val="NormalWeb"/>
        <w:tabs>
          <w:tab w:val="left" w:pos="2160"/>
          <w:tab w:val="right" w:pos="4440"/>
          <w:tab w:val="right" w:pos="7740"/>
        </w:tabs>
        <w:spacing w:before="0" w:beforeAutospacing="0" w:after="0" w:afterAutospacing="0"/>
        <w:rPr>
          <w:i/>
        </w:rPr>
      </w:pPr>
      <w:r w:rsidRPr="0089787C">
        <w:rPr>
          <w:i/>
        </w:rPr>
        <w:t>Total tax liability</w:t>
      </w:r>
      <w:r w:rsidRPr="0089787C">
        <w:rPr>
          <w:i/>
        </w:rPr>
        <w:tab/>
      </w:r>
      <w:r w:rsidRPr="0089787C">
        <w:rPr>
          <w:i/>
        </w:rPr>
        <w:tab/>
      </w:r>
      <w:r w:rsidRPr="0089787C">
        <w:rPr>
          <w:i/>
        </w:rPr>
        <w:tab/>
        <w:t>$</w:t>
      </w:r>
      <w:r w:rsidR="00A94CA2">
        <w:rPr>
          <w:i/>
        </w:rPr>
        <w:t>37,374</w:t>
      </w:r>
    </w:p>
    <w:p w14:paraId="49FE0BB5" w14:textId="686B5C76" w:rsidR="0089787C" w:rsidRDefault="0089787C" w:rsidP="00C04668">
      <w:pPr>
        <w:outlineLvl w:val="0"/>
        <w:rPr>
          <w:i/>
        </w:rPr>
      </w:pPr>
    </w:p>
    <w:p w14:paraId="79C70B7B" w14:textId="15256F91" w:rsidR="00620102" w:rsidRDefault="00620102" w:rsidP="00C04668">
      <w:pPr>
        <w:outlineLvl w:val="0"/>
        <w:rPr>
          <w:i/>
        </w:rPr>
      </w:pPr>
      <w:r>
        <w:rPr>
          <w:i/>
        </w:rPr>
        <w:t xml:space="preserve">*The 25% gains are taxed at the lower of the marginal tax rate (24%) or the 25% maximum rate. Since the Jackson’s have $115,000 ($315,000 - </w:t>
      </w:r>
      <w:r w:rsidR="00F41CA7">
        <w:rPr>
          <w:i/>
        </w:rPr>
        <w:t>$200,000 ordinary income) remaining in the 24% bracket, the 25% gains are taxed at the lower marginal tax rate.</w:t>
      </w:r>
    </w:p>
    <w:p w14:paraId="5835BB3B" w14:textId="2EB11B2C" w:rsidR="00F41CA7" w:rsidRDefault="00F41CA7" w:rsidP="00C04668">
      <w:pPr>
        <w:outlineLvl w:val="0"/>
        <w:rPr>
          <w:i/>
        </w:rPr>
      </w:pPr>
      <w:r>
        <w:rPr>
          <w:i/>
        </w:rPr>
        <w:t>**The qualified dividends are taxed at the 15 percent rate because taxable income fits between the maximum zero rate amount and the maximum 15-percent rate amount.</w:t>
      </w:r>
    </w:p>
    <w:p w14:paraId="36EBFB7B" w14:textId="77777777" w:rsidR="00F41CA7" w:rsidRPr="00912DCF" w:rsidRDefault="00F41CA7" w:rsidP="00C04668">
      <w:pPr>
        <w:outlineLvl w:val="0"/>
        <w:rPr>
          <w:i/>
        </w:rPr>
      </w:pPr>
    </w:p>
    <w:p w14:paraId="3213FC44" w14:textId="61F17C7B" w:rsidR="00745022" w:rsidRDefault="00745022" w:rsidP="00C04668">
      <w:pPr>
        <w:numPr>
          <w:ilvl w:val="0"/>
          <w:numId w:val="1"/>
        </w:numPr>
        <w:ind w:hanging="600"/>
      </w:pPr>
      <w:r>
        <w:t xml:space="preserve">[LO 2] For </w:t>
      </w:r>
      <w:r w:rsidR="00FA6CBC">
        <w:t>2018</w:t>
      </w:r>
      <w:r>
        <w:t>, Sherri has a short-term loss of $2,500 and a long-term loss of $4,750.</w:t>
      </w:r>
    </w:p>
    <w:p w14:paraId="43C18A8E" w14:textId="4DD2E4A9" w:rsidR="00745022" w:rsidRDefault="00745022" w:rsidP="00C04668">
      <w:pPr>
        <w:numPr>
          <w:ilvl w:val="0"/>
          <w:numId w:val="3"/>
        </w:numPr>
        <w:tabs>
          <w:tab w:val="clear" w:pos="1440"/>
        </w:tabs>
        <w:ind w:left="1080"/>
      </w:pPr>
      <w:r>
        <w:t xml:space="preserve">How much loss can Sherri deduct in </w:t>
      </w:r>
      <w:r w:rsidR="00FA6CBC">
        <w:t>2018</w:t>
      </w:r>
      <w:r>
        <w:t>?</w:t>
      </w:r>
    </w:p>
    <w:p w14:paraId="72ED38DB" w14:textId="2E113E55" w:rsidR="005B0111" w:rsidRDefault="005B0111" w:rsidP="005B0111">
      <w:pPr>
        <w:numPr>
          <w:ilvl w:val="0"/>
          <w:numId w:val="3"/>
        </w:numPr>
        <w:tabs>
          <w:tab w:val="clear" w:pos="1440"/>
        </w:tabs>
        <w:ind w:left="1080"/>
      </w:pPr>
      <w:r>
        <w:t xml:space="preserve">How much loss will Sherri carryover to </w:t>
      </w:r>
      <w:r w:rsidR="00FA6CBC">
        <w:t xml:space="preserve">2019 </w:t>
      </w:r>
      <w:r>
        <w:t>and what is the character of the loss carryover?</w:t>
      </w:r>
    </w:p>
    <w:p w14:paraId="11AB3082" w14:textId="77777777" w:rsidR="00745022" w:rsidRDefault="00745022" w:rsidP="00EF746A">
      <w:pPr>
        <w:ind w:left="720"/>
      </w:pPr>
    </w:p>
    <w:p w14:paraId="6F70A3F2" w14:textId="20D700A1" w:rsidR="00745022" w:rsidRPr="00EF746A" w:rsidRDefault="005B0111" w:rsidP="005B0111">
      <w:pPr>
        <w:ind w:left="1080" w:hanging="360"/>
        <w:rPr>
          <w:i/>
        </w:rPr>
      </w:pPr>
      <w:r>
        <w:rPr>
          <w:i/>
        </w:rPr>
        <w:t>a.</w:t>
      </w:r>
      <w:r>
        <w:rPr>
          <w:i/>
        </w:rPr>
        <w:tab/>
      </w:r>
      <w:r w:rsidR="00745022" w:rsidRPr="00EF746A">
        <w:rPr>
          <w:i/>
        </w:rPr>
        <w:t>Sherri has a $2,500 short-term capital loss and a $4,750 long-term capital loss</w:t>
      </w:r>
      <w:r w:rsidR="000C1A4C">
        <w:rPr>
          <w:i/>
        </w:rPr>
        <w:t xml:space="preserve">. </w:t>
      </w:r>
      <w:r w:rsidR="00745022" w:rsidRPr="00EF746A">
        <w:rPr>
          <w:i/>
        </w:rPr>
        <w:t>Because both are losses they cannot be netted. Individual taxpayers can offset $3,000 of capital loss against ordinary income, with short-term losses being offset first.</w:t>
      </w:r>
    </w:p>
    <w:p w14:paraId="4F4E6802" w14:textId="77777777" w:rsidR="00745022" w:rsidRDefault="00745022" w:rsidP="005B0111">
      <w:pPr>
        <w:ind w:left="720" w:hanging="360"/>
      </w:pPr>
    </w:p>
    <w:p w14:paraId="0DF9008D" w14:textId="68103020" w:rsidR="00745022" w:rsidRPr="00EF746A" w:rsidRDefault="005B0111" w:rsidP="005B0111">
      <w:pPr>
        <w:ind w:left="1080" w:hanging="360"/>
        <w:rPr>
          <w:i/>
        </w:rPr>
      </w:pPr>
      <w:r>
        <w:rPr>
          <w:i/>
        </w:rPr>
        <w:t>b.</w:t>
      </w:r>
      <w:r>
        <w:rPr>
          <w:i/>
        </w:rPr>
        <w:tab/>
      </w:r>
      <w:r w:rsidR="00745022" w:rsidRPr="00EF746A">
        <w:rPr>
          <w:i/>
        </w:rPr>
        <w:t>Individual taxpayers can offset $3,000 of capital loss against ordinary income, with short-term losses being offset first. Therefore, Sherri can deduct the $2,500 short-term capital loss and $500 of the long-term capital loss</w:t>
      </w:r>
      <w:r w:rsidR="00745022">
        <w:rPr>
          <w:i/>
        </w:rPr>
        <w:t xml:space="preserve"> in </w:t>
      </w:r>
      <w:r w:rsidR="00FA6CBC">
        <w:rPr>
          <w:i/>
        </w:rPr>
        <w:t>2018</w:t>
      </w:r>
      <w:r w:rsidR="00745022" w:rsidRPr="00EF746A">
        <w:rPr>
          <w:i/>
        </w:rPr>
        <w:t>. The remaining $4,250 of the long-term capital loss (i.e. $4,750 less the $500 deducted currently) is carried forward indefinitely.</w:t>
      </w:r>
    </w:p>
    <w:p w14:paraId="2496E350" w14:textId="77777777" w:rsidR="00745022" w:rsidRDefault="00745022" w:rsidP="00C04668">
      <w:pPr>
        <w:outlineLvl w:val="0"/>
      </w:pPr>
    </w:p>
    <w:p w14:paraId="4B9B2F7B" w14:textId="75F516E5" w:rsidR="00745022" w:rsidRDefault="00745022" w:rsidP="00C04668">
      <w:pPr>
        <w:numPr>
          <w:ilvl w:val="0"/>
          <w:numId w:val="1"/>
        </w:numPr>
        <w:ind w:hanging="600"/>
        <w:outlineLvl w:val="0"/>
      </w:pPr>
      <w:r>
        <w:t>[LO 2] Three years ago, Adrian purchased 100 shares of stock in X Corp. for $10,000</w:t>
      </w:r>
      <w:r w:rsidR="000C1A4C">
        <w:t xml:space="preserve">. </w:t>
      </w:r>
      <w:r>
        <w:t>On December 30 of year 4, Adrian sells the 100 shares for $6,000.</w:t>
      </w:r>
    </w:p>
    <w:p w14:paraId="1B795D19" w14:textId="77777777" w:rsidR="00745022" w:rsidRDefault="00745022" w:rsidP="00EF746A">
      <w:pPr>
        <w:outlineLvl w:val="0"/>
      </w:pPr>
      <w:r>
        <w:t xml:space="preserve">  </w:t>
      </w:r>
    </w:p>
    <w:p w14:paraId="19F552A3" w14:textId="77777777" w:rsidR="00745022" w:rsidRDefault="00745022" w:rsidP="00C04668">
      <w:pPr>
        <w:numPr>
          <w:ilvl w:val="0"/>
          <w:numId w:val="4"/>
        </w:numPr>
        <w:tabs>
          <w:tab w:val="clear" w:pos="1440"/>
        </w:tabs>
        <w:ind w:left="1080"/>
        <w:outlineLvl w:val="0"/>
      </w:pPr>
      <w:r>
        <w:t>Assuming Adrian has no other capital gains or losses, how much of the loss is Adrian able to deduct on her year 4 tax return?</w:t>
      </w:r>
    </w:p>
    <w:p w14:paraId="737006C9" w14:textId="4523BF27" w:rsidR="002C5242" w:rsidRDefault="002C5242" w:rsidP="002C5242">
      <w:pPr>
        <w:numPr>
          <w:ilvl w:val="0"/>
          <w:numId w:val="4"/>
        </w:numPr>
        <w:tabs>
          <w:tab w:val="clear" w:pos="1440"/>
        </w:tabs>
        <w:ind w:left="1080"/>
        <w:outlineLvl w:val="0"/>
      </w:pPr>
      <w:r>
        <w:t xml:space="preserve">Assume the same facts as in part </w:t>
      </w:r>
      <w:r w:rsidR="00EC502A">
        <w:t>(</w:t>
      </w:r>
      <w:r>
        <w:t>a</w:t>
      </w:r>
      <w:r w:rsidR="00EC502A">
        <w:t>)</w:t>
      </w:r>
      <w:r>
        <w:t>, except that on January 20 of year 5, Adrian purchases 100 shares of X Corp. stock for $6,000</w:t>
      </w:r>
      <w:r w:rsidR="000C1A4C">
        <w:t xml:space="preserve">. </w:t>
      </w:r>
      <w:r>
        <w:t xml:space="preserve">How much loss from the sale on December 30 of year 4 is deductible on Adrian’s year 4 tax return?  What basis does Adrian take in the stock purchased on January 20 of year 5? </w:t>
      </w:r>
    </w:p>
    <w:p w14:paraId="2BC1497A" w14:textId="77777777" w:rsidR="00745022" w:rsidRPr="002C5242" w:rsidRDefault="00745022" w:rsidP="00EF746A">
      <w:pPr>
        <w:ind w:left="720"/>
      </w:pPr>
    </w:p>
    <w:p w14:paraId="312C9BEC" w14:textId="77777777" w:rsidR="00745022" w:rsidRPr="00EF746A" w:rsidRDefault="002C5242" w:rsidP="002C5242">
      <w:pPr>
        <w:ind w:left="1080" w:hanging="360"/>
        <w:rPr>
          <w:i/>
        </w:rPr>
      </w:pPr>
      <w:r>
        <w:rPr>
          <w:i/>
        </w:rPr>
        <w:t>a.</w:t>
      </w:r>
      <w:r>
        <w:rPr>
          <w:i/>
        </w:rPr>
        <w:tab/>
      </w:r>
      <w:r w:rsidR="00745022" w:rsidRPr="00EF746A">
        <w:rPr>
          <w:i/>
        </w:rPr>
        <w:t>Adrian has a $4,000 long-term capital loss. She can offset $3,000 of the capital loss against ordinary income. The remaining $1,000 of the capital loss (i.e. $4,000 less the $3,000 deducted currently) is carried forward indefinitely.</w:t>
      </w:r>
    </w:p>
    <w:p w14:paraId="176674F8" w14:textId="77777777" w:rsidR="00745022" w:rsidRDefault="00745022" w:rsidP="002C5242">
      <w:pPr>
        <w:ind w:left="720" w:hanging="360"/>
        <w:outlineLvl w:val="0"/>
      </w:pPr>
      <w:r>
        <w:t xml:space="preserve">  </w:t>
      </w:r>
    </w:p>
    <w:p w14:paraId="50A20577" w14:textId="77777777" w:rsidR="00745022" w:rsidRDefault="002C5242" w:rsidP="002C5242">
      <w:pPr>
        <w:ind w:left="1080" w:hanging="360"/>
      </w:pPr>
      <w:r>
        <w:rPr>
          <w:i/>
        </w:rPr>
        <w:t>b.</w:t>
      </w:r>
      <w:r>
        <w:rPr>
          <w:i/>
        </w:rPr>
        <w:tab/>
      </w:r>
      <w:r w:rsidR="00745022" w:rsidRPr="00EF746A">
        <w:rPr>
          <w:i/>
        </w:rPr>
        <w:t>Adrian has a realized $4,000 long-term capital loss on the sale of the 100 shares. However, she has purchased substantially identical stock within the 61 day period (30 days before the sale until 30 days after the sale)</w:t>
      </w:r>
      <w:r w:rsidR="00745022">
        <w:rPr>
          <w:i/>
        </w:rPr>
        <w:t>;</w:t>
      </w:r>
      <w:r w:rsidR="00745022" w:rsidRPr="00EF746A">
        <w:rPr>
          <w:i/>
        </w:rPr>
        <w:t xml:space="preserve"> therefore, her loss is</w:t>
      </w:r>
      <w:r w:rsidR="00745022">
        <w:rPr>
          <w:i/>
        </w:rPr>
        <w:t xml:space="preserve"> limited</w:t>
      </w:r>
      <w:r w:rsidR="00745022" w:rsidRPr="00EF746A">
        <w:rPr>
          <w:i/>
        </w:rPr>
        <w:t xml:space="preserve"> by the wash sale rules. Since Adrian purchased 100 shares the loss is not</w:t>
      </w:r>
      <w:r w:rsidR="00745022">
        <w:rPr>
          <w:i/>
        </w:rPr>
        <w:t xml:space="preserve"> currently</w:t>
      </w:r>
      <w:r w:rsidR="00745022" w:rsidRPr="00EF746A">
        <w:rPr>
          <w:i/>
        </w:rPr>
        <w:t xml:space="preserve"> recognized. The loss is added to the basis of the new shares purchased. </w:t>
      </w:r>
      <w:r w:rsidR="00745022">
        <w:rPr>
          <w:i/>
        </w:rPr>
        <w:t>Thus, t</w:t>
      </w:r>
      <w:r w:rsidR="00745022" w:rsidRPr="00EF746A">
        <w:rPr>
          <w:i/>
        </w:rPr>
        <w:t xml:space="preserve">he basis of the 100 new shares of stock is $10,000 (i.e. the $6,000 purchase price plus the unrecognized loss of $4,000). </w:t>
      </w:r>
    </w:p>
    <w:p w14:paraId="72B888FC" w14:textId="77777777" w:rsidR="00745022" w:rsidRDefault="00745022" w:rsidP="00C04668">
      <w:pPr>
        <w:ind w:left="360" w:hanging="360"/>
        <w:outlineLvl w:val="0"/>
      </w:pPr>
    </w:p>
    <w:p w14:paraId="2C6C14D3" w14:textId="50132F04" w:rsidR="00745022" w:rsidRDefault="00745022" w:rsidP="008E4F2A">
      <w:pPr>
        <w:numPr>
          <w:ilvl w:val="0"/>
          <w:numId w:val="1"/>
        </w:numPr>
        <w:outlineLvl w:val="0"/>
      </w:pPr>
      <w:r>
        <w:t>[LO 2] Christopher sold 100 shares of Cisco stock for $5,500 in the current year</w:t>
      </w:r>
      <w:r w:rsidR="000C1A4C">
        <w:t xml:space="preserve">. </w:t>
      </w:r>
      <w:r>
        <w:t>He purchased the shares several years ago for $2,200. Assuming his</w:t>
      </w:r>
      <w:r w:rsidDel="000467FD">
        <w:t xml:space="preserve"> marginal </w:t>
      </w:r>
      <w:r>
        <w:t xml:space="preserve">ordinary income </w:t>
      </w:r>
      <w:r w:rsidDel="000467FD">
        <w:t xml:space="preserve">tax rate is </w:t>
      </w:r>
      <w:r>
        <w:t>2</w:t>
      </w:r>
      <w:r w:rsidR="006D2C03">
        <w:t>4</w:t>
      </w:r>
      <w:r>
        <w:t xml:space="preserve"> percent, and he has no other capital gains or losses</w:t>
      </w:r>
      <w:r w:rsidDel="000467FD">
        <w:t>, h</w:t>
      </w:r>
      <w:r>
        <w:t>ow much tax will he pay on this gain?</w:t>
      </w:r>
    </w:p>
    <w:p w14:paraId="49679E12" w14:textId="77777777" w:rsidR="00745022" w:rsidRPr="00B56A4B" w:rsidRDefault="00745022" w:rsidP="00B56A4B">
      <w:pPr>
        <w:ind w:left="1080"/>
        <w:rPr>
          <w:i/>
        </w:rPr>
      </w:pPr>
    </w:p>
    <w:p w14:paraId="2727F3F4" w14:textId="58AA33F1" w:rsidR="00745022" w:rsidRPr="00B56A4B" w:rsidRDefault="00745022" w:rsidP="00B56A4B">
      <w:pPr>
        <w:ind w:left="1080"/>
        <w:rPr>
          <w:i/>
        </w:rPr>
      </w:pPr>
      <w:r w:rsidRPr="00B56A4B">
        <w:rPr>
          <w:i/>
        </w:rPr>
        <w:t>Christopher’s long-term capital gain is $3,300 ($5,500 amount realized less his $2,200 tax basis)</w:t>
      </w:r>
      <w:r w:rsidR="000C1A4C">
        <w:rPr>
          <w:i/>
        </w:rPr>
        <w:t xml:space="preserve">. </w:t>
      </w:r>
      <w:r w:rsidRPr="00B56A4B">
        <w:rPr>
          <w:i/>
        </w:rPr>
        <w:t>Since Christopher’s marginal</w:t>
      </w:r>
      <w:r w:rsidR="001E36B1">
        <w:rPr>
          <w:i/>
        </w:rPr>
        <w:t xml:space="preserve"> tax</w:t>
      </w:r>
      <w:r w:rsidRPr="00B56A4B">
        <w:rPr>
          <w:i/>
        </w:rPr>
        <w:t xml:space="preserve"> rate </w:t>
      </w:r>
      <w:r w:rsidR="001E36B1">
        <w:rPr>
          <w:i/>
        </w:rPr>
        <w:t>places his taxable income below the maximum 15</w:t>
      </w:r>
      <w:r w:rsidR="00B828BB">
        <w:rPr>
          <w:i/>
        </w:rPr>
        <w:t>-</w:t>
      </w:r>
      <w:r w:rsidR="001E36B1">
        <w:rPr>
          <w:i/>
        </w:rPr>
        <w:t xml:space="preserve">percent rate amount but above the maximum zero rate amount, </w:t>
      </w:r>
      <w:r w:rsidRPr="00B56A4B">
        <w:rPr>
          <w:i/>
        </w:rPr>
        <w:t xml:space="preserve">his long-term capital gains rate </w:t>
      </w:r>
      <w:r w:rsidR="00C14398">
        <w:rPr>
          <w:i/>
        </w:rPr>
        <w:t>is</w:t>
      </w:r>
      <w:r w:rsidRPr="00B56A4B">
        <w:rPr>
          <w:i/>
        </w:rPr>
        <w:t xml:space="preserve"> 15</w:t>
      </w:r>
      <w:r w:rsidR="00E73E13" w:rsidRPr="00E73E13">
        <w:rPr>
          <w:i/>
        </w:rPr>
        <w:t xml:space="preserve"> </w:t>
      </w:r>
      <w:r w:rsidR="00E73E13">
        <w:rPr>
          <w:i/>
        </w:rPr>
        <w:t>percent</w:t>
      </w:r>
      <w:r w:rsidR="000C1A4C">
        <w:rPr>
          <w:i/>
        </w:rPr>
        <w:t xml:space="preserve">. </w:t>
      </w:r>
      <w:r w:rsidRPr="00B56A4B">
        <w:rPr>
          <w:i/>
        </w:rPr>
        <w:t>Therefore, he will pay 15</w:t>
      </w:r>
      <w:r w:rsidR="00E73E13" w:rsidRPr="00E73E13">
        <w:rPr>
          <w:i/>
        </w:rPr>
        <w:t xml:space="preserve"> </w:t>
      </w:r>
      <w:r w:rsidR="00E73E13">
        <w:rPr>
          <w:i/>
        </w:rPr>
        <w:t>percent</w:t>
      </w:r>
      <w:r w:rsidRPr="00B56A4B">
        <w:rPr>
          <w:i/>
        </w:rPr>
        <w:t xml:space="preserve"> of $3,300 or $495 in capital gains tax.</w:t>
      </w:r>
    </w:p>
    <w:p w14:paraId="42C6A232" w14:textId="77777777" w:rsidR="00745022" w:rsidRPr="00B56A4B" w:rsidRDefault="00745022" w:rsidP="00B56A4B">
      <w:pPr>
        <w:ind w:left="720"/>
        <w:rPr>
          <w:b/>
        </w:rPr>
      </w:pPr>
    </w:p>
    <w:p w14:paraId="594927BD" w14:textId="77777777" w:rsidR="00745022" w:rsidRDefault="00745022" w:rsidP="008E4F2A">
      <w:pPr>
        <w:numPr>
          <w:ilvl w:val="0"/>
          <w:numId w:val="1"/>
        </w:numPr>
        <w:outlineLvl w:val="0"/>
      </w:pPr>
      <w:r>
        <w:t xml:space="preserve">[LO 2]  Christina, who is single, purchased 100 shares of Apple Inc. stock several years ago for $3,500. During her year-end tax planning, she decided to sell 50 shares of Apple for $1,500 on December 30. However, two weeks later, Apple introduced </w:t>
      </w:r>
      <w:r w:rsidR="0083071A">
        <w:t xml:space="preserve">its latest </w:t>
      </w:r>
      <w:r>
        <w:t>iPhone, and she decided that she should buy the 50 shares (cost of $1,600) of Apple back before prices skyrocket.</w:t>
      </w:r>
    </w:p>
    <w:p w14:paraId="668653C0" w14:textId="77777777" w:rsidR="00745022" w:rsidRDefault="00745022" w:rsidP="00E206C3">
      <w:pPr>
        <w:outlineLvl w:val="0"/>
      </w:pPr>
    </w:p>
    <w:p w14:paraId="4A47E1A3" w14:textId="77777777" w:rsidR="00745022" w:rsidRDefault="00745022" w:rsidP="00C04668">
      <w:pPr>
        <w:numPr>
          <w:ilvl w:val="0"/>
          <w:numId w:val="5"/>
        </w:numPr>
        <w:tabs>
          <w:tab w:val="clear" w:pos="1440"/>
        </w:tabs>
        <w:ind w:left="1080"/>
        <w:outlineLvl w:val="0"/>
      </w:pPr>
      <w:r>
        <w:t>What is Christina’s deductible loss on the sale of 50 shares? What is her basis in the 50 new shares?</w:t>
      </w:r>
    </w:p>
    <w:p w14:paraId="42A811D7" w14:textId="77777777" w:rsidR="00807AF5" w:rsidRDefault="00807AF5" w:rsidP="00807AF5">
      <w:pPr>
        <w:numPr>
          <w:ilvl w:val="0"/>
          <w:numId w:val="5"/>
        </w:numPr>
        <w:tabs>
          <w:tab w:val="clear" w:pos="1440"/>
        </w:tabs>
        <w:ind w:left="1080"/>
        <w:outlineLvl w:val="0"/>
      </w:pPr>
      <w:r>
        <w:t>Assume the same facts, except that Christina repurchased only 25 shares for $800. What is Christina’s deductible loss on the sale of 50 shares? What is her basis in the 25 new shares?</w:t>
      </w:r>
    </w:p>
    <w:p w14:paraId="44C146F6" w14:textId="77777777" w:rsidR="00745022" w:rsidRDefault="00745022" w:rsidP="00E206C3">
      <w:pPr>
        <w:ind w:left="720"/>
        <w:outlineLvl w:val="0"/>
      </w:pPr>
    </w:p>
    <w:p w14:paraId="45CC2DBF" w14:textId="77777777" w:rsidR="00745022" w:rsidRDefault="00807AF5" w:rsidP="00807AF5">
      <w:pPr>
        <w:ind w:left="1080" w:hanging="360"/>
        <w:outlineLvl w:val="0"/>
      </w:pPr>
      <w:r>
        <w:rPr>
          <w:i/>
        </w:rPr>
        <w:t>a.</w:t>
      </w:r>
      <w:r>
        <w:rPr>
          <w:i/>
        </w:rPr>
        <w:tab/>
      </w:r>
      <w:r w:rsidR="00745022" w:rsidRPr="00E206C3">
        <w:rPr>
          <w:i/>
        </w:rPr>
        <w:t xml:space="preserve">Christina has engaged in a wash sale because she bought identical stock within 30 days of selling Apple stock. Therefore, her $250 ($1,500 less $1,750) loss is disallowed. The basis of Christina’s 50 shares of new </w:t>
      </w:r>
      <w:r w:rsidR="00745022">
        <w:rPr>
          <w:i/>
        </w:rPr>
        <w:t xml:space="preserve">Apple </w:t>
      </w:r>
      <w:r w:rsidR="00745022" w:rsidRPr="00E206C3">
        <w:rPr>
          <w:i/>
        </w:rPr>
        <w:t>stock is $1,850 ($1,600 purchase price plus $250 of disallowed loss).</w:t>
      </w:r>
    </w:p>
    <w:p w14:paraId="4503E52F" w14:textId="77777777" w:rsidR="00745022" w:rsidRDefault="00745022" w:rsidP="00807AF5">
      <w:pPr>
        <w:ind w:left="720" w:hanging="360"/>
        <w:outlineLvl w:val="0"/>
      </w:pPr>
      <w:r>
        <w:t xml:space="preserve"> </w:t>
      </w:r>
    </w:p>
    <w:p w14:paraId="417C0C06" w14:textId="14977C25" w:rsidR="00745022" w:rsidRPr="00BB6C0E" w:rsidRDefault="00807AF5" w:rsidP="00807AF5">
      <w:pPr>
        <w:ind w:left="1080" w:hanging="360"/>
        <w:outlineLvl w:val="0"/>
      </w:pPr>
      <w:r>
        <w:rPr>
          <w:i/>
        </w:rPr>
        <w:t>b.</w:t>
      </w:r>
      <w:r>
        <w:rPr>
          <w:i/>
        </w:rPr>
        <w:tab/>
      </w:r>
      <w:r w:rsidR="00745022" w:rsidRPr="00E206C3">
        <w:rPr>
          <w:i/>
        </w:rPr>
        <w:t xml:space="preserve">Christina has engaged in a partial wash sale because she bought 25 shares of identical stock within 30 days of selling Apple stock. Therefore, she may deduct $125 </w:t>
      </w:r>
      <w:r w:rsidR="00745022">
        <w:rPr>
          <w:i/>
        </w:rPr>
        <w:t>or 50</w:t>
      </w:r>
      <w:r w:rsidR="00E73E13" w:rsidRPr="00E73E13">
        <w:rPr>
          <w:i/>
        </w:rPr>
        <w:t xml:space="preserve"> </w:t>
      </w:r>
      <w:r w:rsidR="00E73E13">
        <w:rPr>
          <w:i/>
        </w:rPr>
        <w:t>percent</w:t>
      </w:r>
      <w:r w:rsidR="00745022">
        <w:rPr>
          <w:i/>
        </w:rPr>
        <w:t xml:space="preserve"> </w:t>
      </w:r>
      <w:r w:rsidR="00745022" w:rsidRPr="00E206C3">
        <w:rPr>
          <w:i/>
        </w:rPr>
        <w:t>of her $250 ($1,750 less $1,500) loss; the remaining $125 is disallowed. The basis of Christina’s 25 shares of new stock is $925 ($800 purchase price plus $125 of disallowed loss).</w:t>
      </w:r>
    </w:p>
    <w:p w14:paraId="4EE614C0" w14:textId="77777777" w:rsidR="00745022" w:rsidRPr="00BB6C0E" w:rsidRDefault="00745022" w:rsidP="008E4F2A">
      <w:pPr>
        <w:outlineLvl w:val="0"/>
      </w:pPr>
    </w:p>
    <w:p w14:paraId="6BB6EA08" w14:textId="77777777" w:rsidR="00745022" w:rsidRPr="00F94743" w:rsidRDefault="00745022" w:rsidP="008E4F2A">
      <w:pPr>
        <w:numPr>
          <w:ilvl w:val="0"/>
          <w:numId w:val="1"/>
        </w:numPr>
        <w:outlineLvl w:val="0"/>
        <w:rPr>
          <w:i/>
        </w:rPr>
      </w:pPr>
      <w:r>
        <w:t>[LO 2] {Research}Arden purchased 300 shares of AMC common stock several years ago for $1,500. On April 30, Arden sold the shares of AMC common for $500 and then purchased 250 shares of AMC preferred stock two days later for $700. The AMC preferred stock is not convertible into AMC common stock. What is Arden’s deductible loss from the sale of the 300 shares of AMC common stock?</w:t>
      </w:r>
    </w:p>
    <w:p w14:paraId="633D1E67" w14:textId="77777777" w:rsidR="00745022" w:rsidRDefault="00745022" w:rsidP="00F94743">
      <w:pPr>
        <w:outlineLvl w:val="0"/>
      </w:pPr>
    </w:p>
    <w:p w14:paraId="3AC44C08" w14:textId="76055884" w:rsidR="00745022" w:rsidRPr="003F24F4" w:rsidRDefault="00745022" w:rsidP="003F24F4">
      <w:pPr>
        <w:ind w:left="360"/>
        <w:outlineLvl w:val="0"/>
        <w:rPr>
          <w:i/>
        </w:rPr>
      </w:pPr>
      <w:r w:rsidRPr="003F24F4">
        <w:rPr>
          <w:i/>
        </w:rPr>
        <w:t>Section 1.1233-1(d) of the Income Tax Regulations indicates that common and preferred stock of the same company are not considered "substantially identical property" for purposes of applying the wash sale rules as long as the preferred stock is not convertible into common stock</w:t>
      </w:r>
      <w:r w:rsidR="000C1A4C">
        <w:rPr>
          <w:i/>
        </w:rPr>
        <w:t xml:space="preserve">. </w:t>
      </w:r>
      <w:r w:rsidRPr="003F24F4">
        <w:rPr>
          <w:i/>
        </w:rPr>
        <w:t>Thus, Arden may deduct $1,000 dollars of loss from the sale of the AMC stock in the current year.</w:t>
      </w:r>
    </w:p>
    <w:p w14:paraId="17A596FD" w14:textId="77777777" w:rsidR="00745022" w:rsidRDefault="00745022" w:rsidP="00C04668">
      <w:pPr>
        <w:ind w:left="1017" w:hanging="351"/>
        <w:outlineLvl w:val="0"/>
      </w:pPr>
    </w:p>
    <w:p w14:paraId="469E37B5" w14:textId="2D7234AC" w:rsidR="00745022" w:rsidRDefault="00745022" w:rsidP="008E4F2A">
      <w:pPr>
        <w:numPr>
          <w:ilvl w:val="0"/>
          <w:numId w:val="1"/>
        </w:numPr>
        <w:outlineLvl w:val="0"/>
      </w:pPr>
      <w:r>
        <w:t>[LO 2] {Planning} Shaun bought 300 shares of Dental Equipment, Inc. several years ago for $10,000</w:t>
      </w:r>
      <w:r w:rsidR="000C1A4C">
        <w:t xml:space="preserve">. </w:t>
      </w:r>
      <w:r>
        <w:t>Currently the stock is worth $8,000</w:t>
      </w:r>
      <w:r w:rsidR="000C1A4C">
        <w:t xml:space="preserve">. </w:t>
      </w:r>
      <w:r>
        <w:t xml:space="preserve">Shaun’s marginal tax rate this year is </w:t>
      </w:r>
      <w:r w:rsidR="00B828BB">
        <w:t>24</w:t>
      </w:r>
      <w:r>
        <w:t xml:space="preserve"> percent, and he has no other capital gains or losses</w:t>
      </w:r>
      <w:r w:rsidR="000C1A4C">
        <w:t xml:space="preserve">. </w:t>
      </w:r>
      <w:r>
        <w:t xml:space="preserve">Shaun expects to have a marginal rate of </w:t>
      </w:r>
      <w:r w:rsidR="00B828BB">
        <w:t>32</w:t>
      </w:r>
      <w:r>
        <w:t xml:space="preserve"> percent next year, but also expects to have a long-term capital gain of $10,000. To minimize taxes, should Shaun sell the stock on December 31 of this year or January 1 of next year (ignore the time value of money)?</w:t>
      </w:r>
    </w:p>
    <w:p w14:paraId="3ECC05C0" w14:textId="77777777" w:rsidR="00745022" w:rsidRDefault="00745022" w:rsidP="00E206C3">
      <w:pPr>
        <w:outlineLvl w:val="0"/>
      </w:pPr>
    </w:p>
    <w:p w14:paraId="34057F47" w14:textId="348823FE" w:rsidR="00745022" w:rsidRDefault="00745022" w:rsidP="00E206C3">
      <w:pPr>
        <w:ind w:left="360" w:hanging="9"/>
        <w:outlineLvl w:val="0"/>
      </w:pPr>
      <w:r w:rsidRPr="00E206C3">
        <w:rPr>
          <w:i/>
        </w:rPr>
        <w:t>If Shaun sells the stock in the current year, he may deduct his</w:t>
      </w:r>
      <w:r>
        <w:rPr>
          <w:i/>
        </w:rPr>
        <w:t xml:space="preserve"> $</w:t>
      </w:r>
      <w:r w:rsidRPr="00E206C3">
        <w:rPr>
          <w:i/>
        </w:rPr>
        <w:t>2,000 capital loss against his ordinary income</w:t>
      </w:r>
      <w:r w:rsidR="000C1A4C">
        <w:rPr>
          <w:i/>
        </w:rPr>
        <w:t xml:space="preserve">. </w:t>
      </w:r>
      <w:r w:rsidRPr="00E206C3">
        <w:rPr>
          <w:i/>
        </w:rPr>
        <w:t xml:space="preserve">Given that his tax rate in the current year is </w:t>
      </w:r>
      <w:r w:rsidR="00032829">
        <w:rPr>
          <w:i/>
        </w:rPr>
        <w:t xml:space="preserve">24 </w:t>
      </w:r>
      <w:r>
        <w:rPr>
          <w:i/>
        </w:rPr>
        <w:t>percent</w:t>
      </w:r>
      <w:r w:rsidRPr="00E206C3">
        <w:rPr>
          <w:i/>
        </w:rPr>
        <w:t xml:space="preserve">, this will produce a tax benefit of </w:t>
      </w:r>
      <w:r w:rsidR="00032829">
        <w:rPr>
          <w:i/>
        </w:rPr>
        <w:t xml:space="preserve">24 </w:t>
      </w:r>
      <w:r>
        <w:rPr>
          <w:i/>
        </w:rPr>
        <w:t>percent</w:t>
      </w:r>
      <w:r w:rsidRPr="00E206C3">
        <w:rPr>
          <w:i/>
        </w:rPr>
        <w:t xml:space="preserve"> of $2,000 or $</w:t>
      </w:r>
      <w:r w:rsidR="00032829">
        <w:rPr>
          <w:i/>
        </w:rPr>
        <w:t>480</w:t>
      </w:r>
      <w:r w:rsidR="000C1A4C">
        <w:rPr>
          <w:i/>
        </w:rPr>
        <w:t xml:space="preserve">. </w:t>
      </w:r>
      <w:r w:rsidRPr="00E206C3">
        <w:rPr>
          <w:i/>
        </w:rPr>
        <w:t>On the other hand, if he waits until the following year to recognize the $2,000 capital loss, he must apply the loss against his $10,000 long-term capital gains taxed at a 15</w:t>
      </w:r>
      <w:r>
        <w:rPr>
          <w:i/>
        </w:rPr>
        <w:t xml:space="preserve"> percent</w:t>
      </w:r>
      <w:r w:rsidRPr="00E206C3">
        <w:rPr>
          <w:i/>
        </w:rPr>
        <w:t xml:space="preserve"> rate</w:t>
      </w:r>
      <w:r w:rsidR="000C1A4C">
        <w:rPr>
          <w:i/>
        </w:rPr>
        <w:t xml:space="preserve">. </w:t>
      </w:r>
      <w:r w:rsidRPr="00E206C3">
        <w:rPr>
          <w:i/>
        </w:rPr>
        <w:t>If he waits, his loss would produce a tax benefit of only 15</w:t>
      </w:r>
      <w:r>
        <w:rPr>
          <w:i/>
        </w:rPr>
        <w:t xml:space="preserve"> percent</w:t>
      </w:r>
      <w:r w:rsidRPr="00E206C3">
        <w:rPr>
          <w:i/>
        </w:rPr>
        <w:t xml:space="preserve"> of $2,000 or $300</w:t>
      </w:r>
      <w:r w:rsidR="000C1A4C">
        <w:rPr>
          <w:i/>
        </w:rPr>
        <w:t xml:space="preserve">. </w:t>
      </w:r>
      <w:r w:rsidRPr="00E206C3">
        <w:rPr>
          <w:i/>
        </w:rPr>
        <w:t>Therefore, Shaun should sell his stock in the current year.</w:t>
      </w:r>
    </w:p>
    <w:p w14:paraId="51F0892E" w14:textId="77777777" w:rsidR="00745022" w:rsidRDefault="00745022" w:rsidP="00C04668">
      <w:pPr>
        <w:ind w:left="360" w:hanging="369"/>
        <w:outlineLvl w:val="0"/>
      </w:pPr>
    </w:p>
    <w:p w14:paraId="500306F3" w14:textId="77777777" w:rsidR="00745022" w:rsidRDefault="00745022" w:rsidP="00C04668">
      <w:pPr>
        <w:ind w:left="360" w:hanging="360"/>
      </w:pPr>
    </w:p>
    <w:p w14:paraId="0B65DA01" w14:textId="1C5670A3" w:rsidR="00745022" w:rsidRDefault="00942C53" w:rsidP="008E4F2A">
      <w:pPr>
        <w:numPr>
          <w:ilvl w:val="0"/>
          <w:numId w:val="1"/>
        </w:numPr>
        <w:outlineLvl w:val="0"/>
      </w:pPr>
      <w:r w:rsidDel="00942C53">
        <w:t xml:space="preserve"> </w:t>
      </w:r>
      <w:r w:rsidR="00745022">
        <w:t xml:space="preserve">[LO </w:t>
      </w:r>
      <w:r w:rsidR="00CC341C">
        <w:t>3</w:t>
      </w:r>
      <w:r w:rsidR="00745022">
        <w:t>] Mickey and Jenny Porter file a joint tax return, and they itemize deductions</w:t>
      </w:r>
      <w:r w:rsidR="000C1A4C">
        <w:t xml:space="preserve">. </w:t>
      </w:r>
      <w:r w:rsidR="00745022">
        <w:t xml:space="preserve">The Porters incur $2,000 in </w:t>
      </w:r>
      <w:r>
        <w:t>investment expenses</w:t>
      </w:r>
      <w:r w:rsidR="000C1A4C">
        <w:t xml:space="preserve">. </w:t>
      </w:r>
      <w:r w:rsidR="00745022">
        <w:t>They also incur $3,000 of investment interest expense during the year</w:t>
      </w:r>
      <w:r w:rsidR="000C1A4C">
        <w:t xml:space="preserve">. </w:t>
      </w:r>
      <w:r w:rsidR="00745022">
        <w:t>The Porters’ income for the year consists of $150,000 in salary, and $2,500 of interest income.</w:t>
      </w:r>
    </w:p>
    <w:p w14:paraId="5D690671" w14:textId="77777777" w:rsidR="00745022" w:rsidRDefault="00745022" w:rsidP="00693D21">
      <w:pPr>
        <w:outlineLvl w:val="0"/>
      </w:pPr>
      <w:r>
        <w:t xml:space="preserve">  </w:t>
      </w:r>
    </w:p>
    <w:p w14:paraId="21291217" w14:textId="77777777" w:rsidR="00745022" w:rsidRDefault="00745022" w:rsidP="00C04668">
      <w:pPr>
        <w:numPr>
          <w:ilvl w:val="6"/>
          <w:numId w:val="1"/>
        </w:numPr>
        <w:outlineLvl w:val="0"/>
      </w:pPr>
      <w:r>
        <w:t>What is the amount of the Porters’ investment interest expense deduction for the year?</w:t>
      </w:r>
    </w:p>
    <w:p w14:paraId="3FA7CB8E" w14:textId="77777777" w:rsidR="00C85F5A" w:rsidRDefault="00C85F5A" w:rsidP="00C85F5A">
      <w:pPr>
        <w:numPr>
          <w:ilvl w:val="6"/>
          <w:numId w:val="1"/>
        </w:numPr>
        <w:outlineLvl w:val="0"/>
      </w:pPr>
      <w:r>
        <w:t>What would their investment interest expense deduction be if they also had a ($2,000) long-term capital loss?</w:t>
      </w:r>
    </w:p>
    <w:p w14:paraId="2338E034" w14:textId="77777777" w:rsidR="00745022" w:rsidRDefault="00745022" w:rsidP="00693D21">
      <w:pPr>
        <w:ind w:left="720"/>
        <w:outlineLvl w:val="0"/>
      </w:pPr>
    </w:p>
    <w:p w14:paraId="57FDE7A8" w14:textId="7BC89EA6" w:rsidR="00745022" w:rsidRPr="00693D21" w:rsidRDefault="00C85F5A" w:rsidP="00C85F5A">
      <w:pPr>
        <w:ind w:left="1080" w:hanging="360"/>
        <w:outlineLvl w:val="0"/>
        <w:rPr>
          <w:i/>
        </w:rPr>
      </w:pPr>
      <w:r>
        <w:rPr>
          <w:i/>
        </w:rPr>
        <w:t>a.</w:t>
      </w:r>
      <w:r>
        <w:rPr>
          <w:i/>
        </w:rPr>
        <w:tab/>
      </w:r>
      <w:r w:rsidR="00745022" w:rsidRPr="00693D21">
        <w:rPr>
          <w:i/>
        </w:rPr>
        <w:t xml:space="preserve">The $3,000 of investment interest expense is deductible to the extent of net investment income. In this problem, investment income and net investment income are $2,500 because there are no </w:t>
      </w:r>
      <w:r w:rsidR="00A91F7E">
        <w:rPr>
          <w:i/>
        </w:rPr>
        <w:t xml:space="preserve">deductible </w:t>
      </w:r>
      <w:r w:rsidR="00745022" w:rsidRPr="00693D21">
        <w:rPr>
          <w:i/>
        </w:rPr>
        <w:t>investment expenses</w:t>
      </w:r>
      <w:r w:rsidR="00A91F7E">
        <w:rPr>
          <w:i/>
        </w:rPr>
        <w:t xml:space="preserve"> to reduce gross investment income</w:t>
      </w:r>
      <w:r w:rsidR="000C1A4C">
        <w:rPr>
          <w:i/>
        </w:rPr>
        <w:t xml:space="preserve">. </w:t>
      </w:r>
      <w:r w:rsidR="00745022" w:rsidRPr="00693D21">
        <w:rPr>
          <w:i/>
        </w:rPr>
        <w:t>Consequently, $2,500 of the investment interest expense is deductible and $500 is carried forward to next year.</w:t>
      </w:r>
    </w:p>
    <w:p w14:paraId="42ACFDC9" w14:textId="77777777" w:rsidR="00745022" w:rsidRDefault="00745022" w:rsidP="00C85F5A">
      <w:pPr>
        <w:ind w:left="720" w:hanging="360"/>
        <w:outlineLvl w:val="0"/>
      </w:pPr>
    </w:p>
    <w:p w14:paraId="0190D520" w14:textId="6928FCF1" w:rsidR="00745022" w:rsidRDefault="00C85F5A" w:rsidP="00C85F5A">
      <w:pPr>
        <w:tabs>
          <w:tab w:val="left" w:pos="1320"/>
        </w:tabs>
        <w:ind w:left="1080" w:hanging="360"/>
        <w:outlineLvl w:val="0"/>
      </w:pPr>
      <w:r>
        <w:rPr>
          <w:i/>
        </w:rPr>
        <w:t>b.</w:t>
      </w:r>
      <w:r>
        <w:rPr>
          <w:i/>
        </w:rPr>
        <w:tab/>
      </w:r>
      <w:r w:rsidR="00745022" w:rsidRPr="007E4FCB">
        <w:rPr>
          <w:i/>
        </w:rPr>
        <w:t xml:space="preserve">If the Porters also have a $2,000 long-term capital loss, their net investment income </w:t>
      </w:r>
      <w:r w:rsidR="00456FBC">
        <w:rPr>
          <w:i/>
        </w:rPr>
        <w:t>remains $2,5</w:t>
      </w:r>
      <w:r w:rsidR="00E17F7A">
        <w:rPr>
          <w:i/>
        </w:rPr>
        <w:t>00 for purposes of determining the investment interest expense deduction. Capital losses are not included in the calculation of net investment income.</w:t>
      </w:r>
      <w:r w:rsidR="00745022" w:rsidRPr="007E4FCB">
        <w:rPr>
          <w:i/>
        </w:rPr>
        <w:t xml:space="preserve"> Consequently, $</w:t>
      </w:r>
      <w:r w:rsidR="00E17F7A">
        <w:rPr>
          <w:i/>
        </w:rPr>
        <w:t>2,</w:t>
      </w:r>
      <w:r w:rsidR="00745022" w:rsidRPr="007E4FCB">
        <w:rPr>
          <w:i/>
        </w:rPr>
        <w:t xml:space="preserve">500 of the investment interest expense is deductible and $500 is carried over to next year. </w:t>
      </w:r>
    </w:p>
    <w:p w14:paraId="2C4CDC95" w14:textId="77777777" w:rsidR="00745022" w:rsidRDefault="00745022" w:rsidP="00C04668">
      <w:pPr>
        <w:ind w:left="990" w:hanging="270"/>
        <w:outlineLvl w:val="0"/>
      </w:pPr>
    </w:p>
    <w:p w14:paraId="1BB6FD33" w14:textId="3B2BDE54" w:rsidR="00745022" w:rsidRDefault="00745022" w:rsidP="008E4F2A">
      <w:pPr>
        <w:numPr>
          <w:ilvl w:val="0"/>
          <w:numId w:val="1"/>
        </w:numPr>
        <w:outlineLvl w:val="0"/>
      </w:pPr>
      <w:r w:rsidRPr="004162F0">
        <w:t xml:space="preserve">[LO </w:t>
      </w:r>
      <w:r w:rsidR="00CC341C">
        <w:t>3</w:t>
      </w:r>
      <w:r w:rsidRPr="004162F0">
        <w:t>] {Planning} On Jan</w:t>
      </w:r>
      <w:r w:rsidRPr="00D913BA">
        <w:t>uary 1 of year 1, Nick and Rachel Sutton purchased a parcel of undeveloped land as an investment</w:t>
      </w:r>
      <w:r w:rsidR="000C1A4C">
        <w:t xml:space="preserve">. </w:t>
      </w:r>
      <w:r w:rsidRPr="00D913BA">
        <w:t>The purchase price of the land was $150,000</w:t>
      </w:r>
      <w:r w:rsidR="000C1A4C">
        <w:t xml:space="preserve">. </w:t>
      </w:r>
      <w:r w:rsidRPr="00D913BA">
        <w:t>They paid for the property by making a down payment of $50,000 and borrowing $100,000 from the bank at an interest rate of 6</w:t>
      </w:r>
      <w:r>
        <w:t xml:space="preserve"> percent</w:t>
      </w:r>
      <w:r w:rsidRPr="00D913BA">
        <w:t xml:space="preserve"> per year</w:t>
      </w:r>
      <w:r w:rsidR="000C1A4C">
        <w:t xml:space="preserve">. </w:t>
      </w:r>
      <w:r w:rsidRPr="00D913BA">
        <w:t>At the end of the first year, the Suttons paid $6,000 of interest to the b</w:t>
      </w:r>
      <w:r>
        <w:t>ank</w:t>
      </w:r>
      <w:r w:rsidR="000C1A4C">
        <w:t xml:space="preserve">. </w:t>
      </w:r>
      <w:r>
        <w:t>During year 1, the Sutton</w:t>
      </w:r>
      <w:r w:rsidRPr="00D913BA">
        <w:t>s only source of income was salary</w:t>
      </w:r>
      <w:r w:rsidR="000C1A4C">
        <w:t xml:space="preserve">. </w:t>
      </w:r>
      <w:r w:rsidRPr="00D913BA">
        <w:t>On December 31 of year 2, the Suttons paid $6,000 of interest to the bank and sold the land for $210,000</w:t>
      </w:r>
      <w:r w:rsidR="000C1A4C">
        <w:t xml:space="preserve">. </w:t>
      </w:r>
      <w:r w:rsidRPr="00D913BA">
        <w:t>They used $100,000 of the sale proceeds to pay off the $100,000 loan</w:t>
      </w:r>
      <w:r w:rsidR="000C1A4C">
        <w:t xml:space="preserve">. </w:t>
      </w:r>
      <w:r>
        <w:t>T</w:t>
      </w:r>
      <w:r w:rsidRPr="00D913BA">
        <w:t>he Suttons itemize deductions and are subject to a marginal ordinary income tax rate of 3</w:t>
      </w:r>
      <w:r w:rsidR="006B452B">
        <w:t>2</w:t>
      </w:r>
      <w:r>
        <w:t xml:space="preserve"> percent.</w:t>
      </w:r>
    </w:p>
    <w:p w14:paraId="561C4DED" w14:textId="77777777" w:rsidR="00745022" w:rsidRDefault="00745022" w:rsidP="007E4FCB">
      <w:pPr>
        <w:outlineLvl w:val="0"/>
      </w:pPr>
    </w:p>
    <w:p w14:paraId="16E66EBB" w14:textId="4200F9F4" w:rsidR="00745022" w:rsidRDefault="00745022" w:rsidP="00C04668">
      <w:pPr>
        <w:ind w:left="1080" w:hanging="360"/>
        <w:outlineLvl w:val="0"/>
      </w:pPr>
      <w:r>
        <w:t>a</w:t>
      </w:r>
      <w:r w:rsidR="000C1A4C">
        <w:t xml:space="preserve">. </w:t>
      </w:r>
      <w:r>
        <w:t xml:space="preserve"> S</w:t>
      </w:r>
      <w:r w:rsidRPr="00D913BA">
        <w:t>hould the Suttons treat the capital gain from the land sale as investment income in year 2 in order to minimize their year 2</w:t>
      </w:r>
      <w:r w:rsidR="00E63BC1">
        <w:t xml:space="preserve"> </w:t>
      </w:r>
      <w:r w:rsidRPr="00D913BA">
        <w:t>tax bill?</w:t>
      </w:r>
      <w:r w:rsidR="00E17F7A">
        <w:t xml:space="preserve"> If so, how much</w:t>
      </w:r>
      <w:r w:rsidR="00E63BC1">
        <w:t xml:space="preserve"> could the Suttons save</w:t>
      </w:r>
      <w:r w:rsidR="00E17F7A">
        <w:t>?</w:t>
      </w:r>
    </w:p>
    <w:p w14:paraId="2132ADD7" w14:textId="65CD0915" w:rsidR="00C85F5A" w:rsidRDefault="00C85F5A" w:rsidP="00C85F5A">
      <w:pPr>
        <w:ind w:left="360" w:firstLine="360"/>
        <w:outlineLvl w:val="0"/>
      </w:pPr>
      <w:r>
        <w:t>b</w:t>
      </w:r>
      <w:r w:rsidR="000C1A4C">
        <w:t xml:space="preserve">. </w:t>
      </w:r>
      <w:r>
        <w:t xml:space="preserve"> </w:t>
      </w:r>
      <w:r w:rsidRPr="00D913BA">
        <w:t xml:space="preserve">How much does this </w:t>
      </w:r>
      <w:r>
        <w:t xml:space="preserve">cost or </w:t>
      </w:r>
      <w:r w:rsidRPr="00D913BA">
        <w:t>save them in year 2?</w:t>
      </w:r>
    </w:p>
    <w:p w14:paraId="3043C389" w14:textId="77777777" w:rsidR="00745022" w:rsidRDefault="00745022" w:rsidP="00C04668">
      <w:pPr>
        <w:ind w:left="1080" w:hanging="360"/>
        <w:outlineLvl w:val="0"/>
      </w:pPr>
    </w:p>
    <w:p w14:paraId="32B11B9D" w14:textId="1061FDBF" w:rsidR="00745022" w:rsidRPr="00264382" w:rsidRDefault="00C85F5A" w:rsidP="00C85F5A">
      <w:pPr>
        <w:ind w:left="1080" w:hanging="360"/>
        <w:outlineLvl w:val="0"/>
        <w:rPr>
          <w:i/>
        </w:rPr>
      </w:pPr>
      <w:r>
        <w:rPr>
          <w:i/>
        </w:rPr>
        <w:t>a.</w:t>
      </w:r>
      <w:r>
        <w:rPr>
          <w:i/>
        </w:rPr>
        <w:tab/>
      </w:r>
      <w:r w:rsidR="00745022" w:rsidRPr="00264382">
        <w:rPr>
          <w:i/>
        </w:rPr>
        <w:t>In year one, the Suttons incurred $6,000 of investment interest expense but did not have any investment income so the investment interest expense is not deducted and is carried over to year 2</w:t>
      </w:r>
      <w:r w:rsidR="000C1A4C">
        <w:rPr>
          <w:i/>
        </w:rPr>
        <w:t xml:space="preserve">. </w:t>
      </w:r>
      <w:r w:rsidR="00745022" w:rsidRPr="00264382">
        <w:rPr>
          <w:i/>
        </w:rPr>
        <w:t>In year 2</w:t>
      </w:r>
      <w:r w:rsidR="00745022">
        <w:rPr>
          <w:i/>
        </w:rPr>
        <w:t>,</w:t>
      </w:r>
      <w:r w:rsidR="00745022" w:rsidRPr="00264382">
        <w:rPr>
          <w:i/>
        </w:rPr>
        <w:t xml:space="preserve"> the Suttons incurred another $6,000 of investment interest expense. Combined with the carryover from year 1, the Suttons had $12,000 of investment interest expense they could potentially deduct in year 2</w:t>
      </w:r>
      <w:r w:rsidR="000C1A4C">
        <w:rPr>
          <w:i/>
        </w:rPr>
        <w:t xml:space="preserve">. </w:t>
      </w:r>
      <w:r w:rsidR="00745022" w:rsidRPr="00264382">
        <w:rPr>
          <w:i/>
        </w:rPr>
        <w:t>In year 2</w:t>
      </w:r>
      <w:r w:rsidR="00745022">
        <w:rPr>
          <w:i/>
        </w:rPr>
        <w:t>,</w:t>
      </w:r>
      <w:r w:rsidR="00745022" w:rsidRPr="00264382">
        <w:rPr>
          <w:i/>
        </w:rPr>
        <w:t xml:space="preserve"> the Suttons have $60,000 of long-term capital gain</w:t>
      </w:r>
      <w:r w:rsidR="000C1A4C">
        <w:rPr>
          <w:i/>
        </w:rPr>
        <w:t xml:space="preserve">. </w:t>
      </w:r>
      <w:r w:rsidR="00745022" w:rsidRPr="00264382">
        <w:rPr>
          <w:i/>
        </w:rPr>
        <w:t>None of this long-term capital gain is investment income unless the Suttons elect to have some of it taxed at ordinary rates</w:t>
      </w:r>
      <w:r w:rsidR="000C1A4C">
        <w:rPr>
          <w:i/>
        </w:rPr>
        <w:t xml:space="preserve">. </w:t>
      </w:r>
    </w:p>
    <w:p w14:paraId="4F7D1C64" w14:textId="77777777" w:rsidR="00745022" w:rsidRPr="00264382" w:rsidRDefault="00745022" w:rsidP="00C85F5A">
      <w:pPr>
        <w:ind w:left="1080" w:hanging="360"/>
        <w:outlineLvl w:val="0"/>
        <w:rPr>
          <w:i/>
        </w:rPr>
      </w:pPr>
    </w:p>
    <w:p w14:paraId="0DB717AD" w14:textId="43B22F2B" w:rsidR="00745022" w:rsidRPr="00264382" w:rsidRDefault="00745022" w:rsidP="00C85F5A">
      <w:pPr>
        <w:ind w:left="1080"/>
        <w:outlineLvl w:val="0"/>
        <w:rPr>
          <w:i/>
        </w:rPr>
      </w:pPr>
      <w:r w:rsidRPr="00264382">
        <w:rPr>
          <w:i/>
        </w:rPr>
        <w:t>If the Suttons don’t elect to tax any of the capital gain as ordinary income</w:t>
      </w:r>
      <w:r>
        <w:rPr>
          <w:i/>
        </w:rPr>
        <w:t>,</w:t>
      </w:r>
      <w:r w:rsidRPr="00264382">
        <w:rPr>
          <w:i/>
        </w:rPr>
        <w:t xml:space="preserve"> they would not be able to deduct any of the investment interest expense and they would owe taxes of $9,000 (i.e., $60,000 x 15</w:t>
      </w:r>
      <w:r>
        <w:rPr>
          <w:i/>
        </w:rPr>
        <w:t xml:space="preserve"> percent</w:t>
      </w:r>
      <w:r w:rsidRPr="00264382">
        <w:rPr>
          <w:i/>
        </w:rPr>
        <w:t>)</w:t>
      </w:r>
      <w:r w:rsidR="000C1A4C">
        <w:rPr>
          <w:i/>
        </w:rPr>
        <w:t>.</w:t>
      </w:r>
      <w:r w:rsidR="006B452B">
        <w:rPr>
          <w:i/>
        </w:rPr>
        <w:t xml:space="preserve"> The gain would be taxed at 15 percent because their</w:t>
      </w:r>
      <w:r w:rsidR="00032829">
        <w:rPr>
          <w:i/>
        </w:rPr>
        <w:t xml:space="preserve"> taxable</w:t>
      </w:r>
      <w:r w:rsidR="006B452B">
        <w:rPr>
          <w:i/>
        </w:rPr>
        <w:t xml:space="preserve"> income would be below the maximum 15-percent rate amount</w:t>
      </w:r>
      <w:r w:rsidR="00032829">
        <w:rPr>
          <w:i/>
        </w:rPr>
        <w:t xml:space="preserve"> and above the maximum zero rate amount</w:t>
      </w:r>
      <w:r w:rsidR="006B452B">
        <w:rPr>
          <w:i/>
        </w:rPr>
        <w:t>.</w:t>
      </w:r>
      <w:r w:rsidR="000C1A4C">
        <w:rPr>
          <w:i/>
        </w:rPr>
        <w:t xml:space="preserve"> </w:t>
      </w:r>
      <w:r w:rsidRPr="00264382">
        <w:rPr>
          <w:i/>
        </w:rPr>
        <w:t>The Suttons would have a $12,000 investment expense carry forward to next year.</w:t>
      </w:r>
    </w:p>
    <w:p w14:paraId="4413F82D" w14:textId="77777777" w:rsidR="00745022" w:rsidRPr="00264382" w:rsidRDefault="00745022" w:rsidP="00C85F5A">
      <w:pPr>
        <w:ind w:left="1080" w:hanging="360"/>
        <w:outlineLvl w:val="0"/>
        <w:rPr>
          <w:i/>
        </w:rPr>
      </w:pPr>
    </w:p>
    <w:p w14:paraId="4D24B641" w14:textId="4893DAEE" w:rsidR="00745022" w:rsidRPr="00264382" w:rsidRDefault="00745022" w:rsidP="00C85F5A">
      <w:pPr>
        <w:ind w:left="1080"/>
        <w:outlineLvl w:val="0"/>
        <w:rPr>
          <w:i/>
        </w:rPr>
      </w:pPr>
      <w:r w:rsidRPr="00264382">
        <w:rPr>
          <w:i/>
        </w:rPr>
        <w:t>If the Suttons elect to include $12,000 of the long-term capital gain in investment income and have it taxed at ordinary rates, the Suttons would owe tax of $</w:t>
      </w:r>
      <w:r w:rsidR="006B452B">
        <w:rPr>
          <w:i/>
        </w:rPr>
        <w:t>3,840</w:t>
      </w:r>
      <w:r w:rsidRPr="00264382">
        <w:rPr>
          <w:i/>
        </w:rPr>
        <w:t xml:space="preserve"> ($12,000 x 3</w:t>
      </w:r>
      <w:r w:rsidR="006B452B">
        <w:rPr>
          <w:i/>
        </w:rPr>
        <w:t>2</w:t>
      </w:r>
      <w:r>
        <w:rPr>
          <w:i/>
        </w:rPr>
        <w:t xml:space="preserve"> percent</w:t>
      </w:r>
      <w:r w:rsidRPr="00264382">
        <w:rPr>
          <w:i/>
        </w:rPr>
        <w:t>) on this portion of the capital gain and they would owe $7,200 of taxes on the rest of the capital gain (i.e., $48,000 x 15</w:t>
      </w:r>
      <w:r>
        <w:rPr>
          <w:i/>
        </w:rPr>
        <w:t xml:space="preserve"> percent</w:t>
      </w:r>
      <w:r w:rsidRPr="00264382">
        <w:rPr>
          <w:i/>
        </w:rPr>
        <w:t>)</w:t>
      </w:r>
      <w:r w:rsidR="000C1A4C">
        <w:rPr>
          <w:i/>
        </w:rPr>
        <w:t xml:space="preserve">. </w:t>
      </w:r>
      <w:r w:rsidRPr="00264382">
        <w:rPr>
          <w:i/>
        </w:rPr>
        <w:t>The $12,000 investment interest expense deduction would save the Suttons $</w:t>
      </w:r>
      <w:r w:rsidR="006B452B">
        <w:rPr>
          <w:i/>
        </w:rPr>
        <w:t>3,840</w:t>
      </w:r>
      <w:r w:rsidRPr="00264382">
        <w:rPr>
          <w:i/>
        </w:rPr>
        <w:t xml:space="preserve"> in taxes (i.e., $12,000 x 3</w:t>
      </w:r>
      <w:r w:rsidR="006B452B">
        <w:rPr>
          <w:i/>
        </w:rPr>
        <w:t>2</w:t>
      </w:r>
      <w:r>
        <w:rPr>
          <w:i/>
        </w:rPr>
        <w:t xml:space="preserve"> percent</w:t>
      </w:r>
      <w:r w:rsidRPr="00264382">
        <w:rPr>
          <w:i/>
        </w:rPr>
        <w:t>)</w:t>
      </w:r>
      <w:r w:rsidR="000C1A4C">
        <w:rPr>
          <w:i/>
        </w:rPr>
        <w:t xml:space="preserve">. </w:t>
      </w:r>
      <w:r w:rsidRPr="00264382">
        <w:rPr>
          <w:i/>
        </w:rPr>
        <w:t>The end result is that if the Suttons make the election, they will owe $7,200 in taxes (i.e., $</w:t>
      </w:r>
      <w:r w:rsidR="006B452B">
        <w:rPr>
          <w:i/>
        </w:rPr>
        <w:t>3,840</w:t>
      </w:r>
      <w:r w:rsidRPr="00264382">
        <w:rPr>
          <w:i/>
        </w:rPr>
        <w:t xml:space="preserve"> + $7,200 - $</w:t>
      </w:r>
      <w:r w:rsidR="006B452B">
        <w:rPr>
          <w:i/>
        </w:rPr>
        <w:t>3,840</w:t>
      </w:r>
      <w:r w:rsidRPr="00264382">
        <w:rPr>
          <w:i/>
        </w:rPr>
        <w:t>)</w:t>
      </w:r>
      <w:r w:rsidR="000C1A4C">
        <w:rPr>
          <w:i/>
        </w:rPr>
        <w:t xml:space="preserve">. </w:t>
      </w:r>
      <w:r w:rsidRPr="00264382">
        <w:rPr>
          <w:i/>
        </w:rPr>
        <w:t>They will not however have an investment interest expense carry forward</w:t>
      </w:r>
      <w:r w:rsidR="000C1A4C">
        <w:rPr>
          <w:i/>
        </w:rPr>
        <w:t xml:space="preserve">. </w:t>
      </w:r>
      <w:r>
        <w:rPr>
          <w:i/>
        </w:rPr>
        <w:t>Making the election would make sense for the Suttons if they did not expect to have any investment income for the foreseeable future.</w:t>
      </w:r>
    </w:p>
    <w:p w14:paraId="1470C8A3" w14:textId="77777777" w:rsidR="00745022" w:rsidRDefault="00745022" w:rsidP="00C85F5A">
      <w:pPr>
        <w:ind w:left="1080" w:hanging="360"/>
        <w:outlineLvl w:val="0"/>
      </w:pPr>
    </w:p>
    <w:p w14:paraId="45CDD3B4" w14:textId="77777777" w:rsidR="00745022" w:rsidRDefault="00C85F5A" w:rsidP="00C85F5A">
      <w:pPr>
        <w:ind w:left="1080" w:hanging="360"/>
        <w:outlineLvl w:val="0"/>
      </w:pPr>
      <w:r>
        <w:rPr>
          <w:i/>
        </w:rPr>
        <w:t>b.</w:t>
      </w:r>
      <w:r>
        <w:rPr>
          <w:i/>
        </w:rPr>
        <w:tab/>
      </w:r>
      <w:r w:rsidR="00745022" w:rsidRPr="00264382">
        <w:rPr>
          <w:i/>
        </w:rPr>
        <w:t>In terms of the year 2 tax bill only, making the election to tax some of the long-term capital gain at ordinary rates saves the Suttons $1,800 in taxes (i.e., $9,000 - $7,200).</w:t>
      </w:r>
      <w:r w:rsidR="00745022">
        <w:t xml:space="preserve"> </w:t>
      </w:r>
    </w:p>
    <w:p w14:paraId="043F8CF7" w14:textId="77777777" w:rsidR="00745022" w:rsidRDefault="00745022" w:rsidP="00C04668">
      <w:pPr>
        <w:outlineLvl w:val="0"/>
      </w:pPr>
    </w:p>
    <w:p w14:paraId="150F9AC7" w14:textId="3DC93F8B" w:rsidR="00745022" w:rsidRDefault="00745022" w:rsidP="008E4F2A">
      <w:pPr>
        <w:numPr>
          <w:ilvl w:val="0"/>
          <w:numId w:val="1"/>
        </w:numPr>
        <w:outlineLvl w:val="0"/>
      </w:pPr>
      <w:r>
        <w:t xml:space="preserve">[LO </w:t>
      </w:r>
      <w:r w:rsidR="00CC341C">
        <w:t>3</w:t>
      </w:r>
      <w:r>
        <w:t>] {Research} George recently received a great stock tip from his friend, Mason</w:t>
      </w:r>
      <w:r w:rsidR="000C1A4C">
        <w:t xml:space="preserve">. </w:t>
      </w:r>
      <w:r>
        <w:t>George didn’t have any cash on hand to invest, so he decided to take out a $20,000 loan to facilitate the stock acquisition</w:t>
      </w:r>
      <w:r w:rsidR="000C1A4C">
        <w:t xml:space="preserve">. </w:t>
      </w:r>
      <w:r>
        <w:t>The loan terms are 8 percent interest with interest-only payments due each year for five years</w:t>
      </w:r>
      <w:r w:rsidR="000C1A4C">
        <w:t xml:space="preserve">. </w:t>
      </w:r>
      <w:r>
        <w:t>At the end of the five-year period the entire loan principal is due</w:t>
      </w:r>
      <w:r w:rsidR="000C1A4C">
        <w:t xml:space="preserve">. </w:t>
      </w:r>
      <w:r>
        <w:t xml:space="preserve">When George closed on the loan on April 1, </w:t>
      </w:r>
      <w:r w:rsidR="00A10725">
        <w:t>2018</w:t>
      </w:r>
      <w:r>
        <w:t>, he decided to invest $16,000 in stock and to use the remaining $4,000 to purchase a four-wheel recreation vehicle</w:t>
      </w:r>
      <w:r w:rsidR="000C1A4C">
        <w:t xml:space="preserve">. </w:t>
      </w:r>
      <w:r>
        <w:t xml:space="preserve"> </w:t>
      </w:r>
      <w:r w:rsidR="00872BB0">
        <w:t xml:space="preserve">George </w:t>
      </w:r>
      <w:r>
        <w:t>is unsure how he will treat the interest paid on the $20,000 loan</w:t>
      </w:r>
      <w:r w:rsidR="000C1A4C">
        <w:t xml:space="preserve">. </w:t>
      </w:r>
      <w:r>
        <w:t xml:space="preserve">In </w:t>
      </w:r>
      <w:r w:rsidR="00A10725">
        <w:t>2018</w:t>
      </w:r>
      <w:r>
        <w:t xml:space="preserve">, </w:t>
      </w:r>
      <w:r w:rsidR="00872BB0">
        <w:t>George</w:t>
      </w:r>
      <w:r>
        <w:t xml:space="preserve"> paid $1,200 interest expense on the loan</w:t>
      </w:r>
      <w:r w:rsidR="000C1A4C">
        <w:t xml:space="preserve">. </w:t>
      </w:r>
      <w:r>
        <w:t xml:space="preserve">For tax purposes, how should he treat the </w:t>
      </w:r>
      <w:r w:rsidR="00A10725">
        <w:t xml:space="preserve">2018 </w:t>
      </w:r>
      <w:r>
        <w:t xml:space="preserve">interest expense?  (Hint: </w:t>
      </w:r>
      <w:r w:rsidR="00D502A6">
        <w:t xml:space="preserve">Visit </w:t>
      </w:r>
      <w:hyperlink r:id="rId8" w:history="1">
        <w:r w:rsidRPr="00CD1862">
          <w:rPr>
            <w:rStyle w:val="Hyperlink"/>
          </w:rPr>
          <w:t>www.irs.gov</w:t>
        </w:r>
      </w:hyperlink>
      <w:r>
        <w:t xml:space="preserve"> and consider IRS Publication 550)</w:t>
      </w:r>
    </w:p>
    <w:p w14:paraId="12B17CDE" w14:textId="77777777" w:rsidR="00745022" w:rsidRDefault="00745022" w:rsidP="007E4FCB">
      <w:pPr>
        <w:outlineLvl w:val="0"/>
      </w:pPr>
    </w:p>
    <w:p w14:paraId="3E100972" w14:textId="1E4BDD93" w:rsidR="00745022" w:rsidRPr="007E4FCB" w:rsidRDefault="00745022" w:rsidP="007E4FCB">
      <w:pPr>
        <w:ind w:left="360"/>
        <w:outlineLvl w:val="0"/>
        <w:rPr>
          <w:i/>
        </w:rPr>
      </w:pPr>
      <w:r w:rsidRPr="007E4FCB">
        <w:rPr>
          <w:i/>
        </w:rPr>
        <w:t>IRS Publication 550 indicates that “if you borrow money for personal purposes as well as for investment, you must allocate the debt among those purposes.”  This means that only interest expense paid on the portion of debt that was used for the investment in the stocks can be deducted as investment interest</w:t>
      </w:r>
      <w:r w:rsidR="000C1A4C">
        <w:rPr>
          <w:i/>
        </w:rPr>
        <w:t xml:space="preserve">. </w:t>
      </w:r>
      <w:r w:rsidRPr="007E4FCB">
        <w:rPr>
          <w:i/>
        </w:rPr>
        <w:t xml:space="preserve">The interest paid on the loan allocated to the personal portion isn’t deductible to the taxpayer. </w:t>
      </w:r>
    </w:p>
    <w:p w14:paraId="0847281E" w14:textId="77777777" w:rsidR="00745022" w:rsidRPr="007E4FCB" w:rsidRDefault="00745022" w:rsidP="007E4FCB">
      <w:pPr>
        <w:rPr>
          <w:i/>
        </w:rPr>
      </w:pPr>
    </w:p>
    <w:p w14:paraId="2CDAC83D" w14:textId="0F7B4D3A" w:rsidR="00745022" w:rsidRPr="007E4FCB" w:rsidRDefault="00745022" w:rsidP="007E4FCB">
      <w:pPr>
        <w:ind w:left="360"/>
        <w:outlineLvl w:val="0"/>
        <w:rPr>
          <w:i/>
        </w:rPr>
      </w:pPr>
      <w:r w:rsidRPr="007E4FCB">
        <w:rPr>
          <w:i/>
        </w:rPr>
        <w:t xml:space="preserve">Therefore, in determining the deductibility of the $1,200 interest expense paid by George during </w:t>
      </w:r>
      <w:r w:rsidR="00A10725">
        <w:rPr>
          <w:i/>
        </w:rPr>
        <w:t>2018</w:t>
      </w:r>
      <w:r w:rsidRPr="007E4FCB">
        <w:rPr>
          <w:i/>
        </w:rPr>
        <w:t>, George would allocate 80</w:t>
      </w:r>
      <w:r>
        <w:rPr>
          <w:i/>
        </w:rPr>
        <w:t xml:space="preserve"> percent</w:t>
      </w:r>
      <w:r w:rsidRPr="007E4FCB">
        <w:rPr>
          <w:i/>
        </w:rPr>
        <w:t xml:space="preserve"> (i.e., $16,000 / 20,000) of the interest expense to the purchase of the stock and 20</w:t>
      </w:r>
      <w:r>
        <w:rPr>
          <w:i/>
        </w:rPr>
        <w:t xml:space="preserve"> percent</w:t>
      </w:r>
      <w:r w:rsidRPr="007E4FCB">
        <w:rPr>
          <w:i/>
        </w:rPr>
        <w:t xml:space="preserve"> (i.e., $4,000 / 20,000) of the interest expense to the purchase of the 4-wheeler</w:t>
      </w:r>
      <w:r w:rsidR="000C1A4C">
        <w:rPr>
          <w:i/>
        </w:rPr>
        <w:t xml:space="preserve">. </w:t>
      </w:r>
      <w:r w:rsidRPr="007E4FCB">
        <w:rPr>
          <w:i/>
        </w:rPr>
        <w:t>Consequently, George would have $960 of investment interest expense (80</w:t>
      </w:r>
      <w:r>
        <w:rPr>
          <w:i/>
        </w:rPr>
        <w:t xml:space="preserve"> percent</w:t>
      </w:r>
      <w:r w:rsidRPr="007E4FCB">
        <w:rPr>
          <w:i/>
        </w:rPr>
        <w:t xml:space="preserve"> x $1,200) and he would have $240 (i.e., 20</w:t>
      </w:r>
      <w:r>
        <w:rPr>
          <w:i/>
        </w:rPr>
        <w:t xml:space="preserve"> percent</w:t>
      </w:r>
      <w:r w:rsidRPr="007E4FCB">
        <w:rPr>
          <w:i/>
        </w:rPr>
        <w:t xml:space="preserve"> x $1,200) of nondeductible personal interest.</w:t>
      </w:r>
    </w:p>
    <w:p w14:paraId="60408E9F" w14:textId="77777777" w:rsidR="00745022" w:rsidRDefault="00745022" w:rsidP="00C04668">
      <w:pPr>
        <w:outlineLvl w:val="0"/>
      </w:pPr>
    </w:p>
    <w:p w14:paraId="27AC4806" w14:textId="5D204380" w:rsidR="00745022" w:rsidRDefault="00745022" w:rsidP="00973A94">
      <w:pPr>
        <w:numPr>
          <w:ilvl w:val="0"/>
          <w:numId w:val="1"/>
        </w:numPr>
        <w:outlineLvl w:val="0"/>
      </w:pPr>
      <w:r w:rsidRPr="00C96425">
        <w:t>[LO</w:t>
      </w:r>
      <w:r w:rsidR="00CC341C">
        <w:t xml:space="preserve"> 4</w:t>
      </w:r>
      <w:r w:rsidRPr="00C96425">
        <w:t>]  Larry rece</w:t>
      </w:r>
      <w:r>
        <w:t>ntly invested $</w:t>
      </w:r>
      <w:r w:rsidR="00973A94">
        <w:t>20</w:t>
      </w:r>
      <w:r>
        <w:t xml:space="preserve">,000 </w:t>
      </w:r>
      <w:r w:rsidR="00973A94">
        <w:t xml:space="preserve">(tax basis) </w:t>
      </w:r>
      <w:r>
        <w:t>in purchasing a limited partnership interest</w:t>
      </w:r>
      <w:r w:rsidR="000C1A4C">
        <w:t xml:space="preserve">. </w:t>
      </w:r>
      <w:r w:rsidR="00973A94">
        <w:t xml:space="preserve">His at-risk </w:t>
      </w:r>
      <w:r w:rsidR="00594328">
        <w:t>amount</w:t>
      </w:r>
      <w:r w:rsidR="00973A94">
        <w:t xml:space="preserve"> is also $20,000.</w:t>
      </w:r>
      <w:r>
        <w:t xml:space="preserve"> In addition, Larry’s share of the limited partnership loss for the year is $2,000, his share of income from a different limited partnership was $1,000, and he had $3,000 of dividend income from the stock he owns.</w:t>
      </w:r>
      <w:r w:rsidR="00946BE5">
        <w:t xml:space="preserve"> </w:t>
      </w:r>
      <w:r>
        <w:t xml:space="preserve">How much of Larry’s $2,000 loss from the limited partnership can he deduct in the current year? </w:t>
      </w:r>
    </w:p>
    <w:p w14:paraId="1753D4FD" w14:textId="77777777" w:rsidR="00745022" w:rsidRDefault="00745022" w:rsidP="00364F3D">
      <w:pPr>
        <w:ind w:left="1080"/>
        <w:outlineLvl w:val="0"/>
      </w:pPr>
    </w:p>
    <w:p w14:paraId="061EBA57" w14:textId="084E560F" w:rsidR="00745022" w:rsidRPr="00364F3D" w:rsidRDefault="00745022" w:rsidP="00973A94">
      <w:pPr>
        <w:ind w:left="360"/>
        <w:outlineLvl w:val="0"/>
        <w:rPr>
          <w:i/>
        </w:rPr>
      </w:pPr>
      <w:r w:rsidRPr="00364F3D">
        <w:rPr>
          <w:i/>
        </w:rPr>
        <w:t>Before considering his $2,000 loss, Larry’s tax basis is $20,000 and his at</w:t>
      </w:r>
      <w:r>
        <w:rPr>
          <w:i/>
        </w:rPr>
        <w:t>-</w:t>
      </w:r>
      <w:r w:rsidRPr="00364F3D">
        <w:rPr>
          <w:i/>
        </w:rPr>
        <w:t>risk amount is $</w:t>
      </w:r>
      <w:r w:rsidR="00973A94">
        <w:rPr>
          <w:i/>
        </w:rPr>
        <w:t>20</w:t>
      </w:r>
      <w:r w:rsidRPr="00364F3D">
        <w:rPr>
          <w:i/>
        </w:rPr>
        <w:t>,000</w:t>
      </w:r>
      <w:r w:rsidR="000C1A4C">
        <w:rPr>
          <w:i/>
        </w:rPr>
        <w:t xml:space="preserve">. </w:t>
      </w:r>
      <w:r w:rsidR="008F649C" w:rsidRPr="00364F3D">
        <w:rPr>
          <w:i/>
        </w:rPr>
        <w:t>Therefore,</w:t>
      </w:r>
      <w:r w:rsidRPr="00364F3D">
        <w:rPr>
          <w:i/>
        </w:rPr>
        <w:t xml:space="preserve"> the basis and at</w:t>
      </w:r>
      <w:r>
        <w:rPr>
          <w:i/>
        </w:rPr>
        <w:t>-</w:t>
      </w:r>
      <w:r w:rsidRPr="00364F3D">
        <w:rPr>
          <w:i/>
        </w:rPr>
        <w:t>risk hurdles do not apply</w:t>
      </w:r>
      <w:r w:rsidR="000C1A4C">
        <w:rPr>
          <w:i/>
        </w:rPr>
        <w:t xml:space="preserve">. </w:t>
      </w:r>
      <w:r w:rsidRPr="00364F3D">
        <w:rPr>
          <w:i/>
        </w:rPr>
        <w:t xml:space="preserve">However, Larry still may not deduct </w:t>
      </w:r>
      <w:r>
        <w:rPr>
          <w:i/>
        </w:rPr>
        <w:t>$1,000</w:t>
      </w:r>
      <w:r w:rsidRPr="00364F3D">
        <w:rPr>
          <w:i/>
        </w:rPr>
        <w:t xml:space="preserve"> of the $2,000 loss because he </w:t>
      </w:r>
      <w:r>
        <w:rPr>
          <w:i/>
        </w:rPr>
        <w:t>only has $1,000 of</w:t>
      </w:r>
      <w:r w:rsidRPr="00364F3D">
        <w:rPr>
          <w:i/>
        </w:rPr>
        <w:t xml:space="preserve"> passive income for the </w:t>
      </w:r>
      <w:r w:rsidRPr="006D51F4">
        <w:rPr>
          <w:i/>
        </w:rPr>
        <w:t>year</w:t>
      </w:r>
      <w:r w:rsidR="000C1A4C">
        <w:rPr>
          <w:i/>
        </w:rPr>
        <w:t xml:space="preserve">. </w:t>
      </w:r>
      <w:r w:rsidRPr="006D51F4">
        <w:rPr>
          <w:i/>
        </w:rPr>
        <w:t>Therefore, Larry has a $</w:t>
      </w:r>
      <w:r>
        <w:rPr>
          <w:i/>
        </w:rPr>
        <w:t>1</w:t>
      </w:r>
      <w:r w:rsidRPr="006D51F4">
        <w:rPr>
          <w:i/>
        </w:rPr>
        <w:t>,000 passive activity loss carryover.</w:t>
      </w:r>
      <w:r w:rsidRPr="00364F3D">
        <w:rPr>
          <w:i/>
        </w:rPr>
        <w:t xml:space="preserve"> </w:t>
      </w:r>
    </w:p>
    <w:p w14:paraId="63DF5992" w14:textId="77777777" w:rsidR="00745022" w:rsidRDefault="00745022" w:rsidP="00C04668">
      <w:pPr>
        <w:ind w:left="1080"/>
        <w:outlineLvl w:val="0"/>
      </w:pPr>
    </w:p>
    <w:p w14:paraId="0A7C1833" w14:textId="2AE9B671" w:rsidR="00745022" w:rsidRDefault="00745022" w:rsidP="00973A94">
      <w:pPr>
        <w:numPr>
          <w:ilvl w:val="0"/>
          <w:numId w:val="1"/>
        </w:numPr>
        <w:outlineLvl w:val="0"/>
      </w:pPr>
      <w:r>
        <w:t>[</w:t>
      </w:r>
      <w:r w:rsidR="00CC341C">
        <w:t>LO 4</w:t>
      </w:r>
      <w:r>
        <w:t>] Rubio recently invested $</w:t>
      </w:r>
      <w:r w:rsidR="00973A94">
        <w:t>20</w:t>
      </w:r>
      <w:r>
        <w:t>,000</w:t>
      </w:r>
      <w:r w:rsidR="00973A94">
        <w:t xml:space="preserve"> (tax basis)</w:t>
      </w:r>
      <w:r>
        <w:t xml:space="preserve"> in purchasing a limited partnership interest</w:t>
      </w:r>
      <w:r w:rsidR="000C1A4C">
        <w:t xml:space="preserve">. </w:t>
      </w:r>
      <w:r w:rsidR="00973A94">
        <w:t xml:space="preserve">His at-risk </w:t>
      </w:r>
      <w:r w:rsidR="00594328">
        <w:t>amount</w:t>
      </w:r>
      <w:r w:rsidR="00973A94">
        <w:t xml:space="preserve"> is $15,000.</w:t>
      </w:r>
      <w:r>
        <w:t xml:space="preserve"> In addition, Rubio’s share of the limited partnership loss for the year is $22,000, his share of income from a different limited partnership was $5,000, and he had $40,000 in wage income and $10,000 in long-term capital gains.</w:t>
      </w:r>
    </w:p>
    <w:p w14:paraId="55B90E0E" w14:textId="77777777" w:rsidR="00973A94" w:rsidRDefault="00973A94" w:rsidP="00973A94">
      <w:pPr>
        <w:outlineLvl w:val="0"/>
      </w:pPr>
    </w:p>
    <w:p w14:paraId="375D0B66" w14:textId="67B6D490" w:rsidR="00745022" w:rsidRDefault="00973A94" w:rsidP="006810F3">
      <w:pPr>
        <w:numPr>
          <w:ilvl w:val="1"/>
          <w:numId w:val="1"/>
        </w:numPr>
        <w:outlineLvl w:val="0"/>
      </w:pPr>
      <w:r>
        <w:t xml:space="preserve">How much of </w:t>
      </w:r>
      <w:r w:rsidR="00745022">
        <w:t xml:space="preserve">Rubio’s $22,000 loss </w:t>
      </w:r>
      <w:r w:rsidR="00CA4B1B">
        <w:t>is allowed considering only the tax basis loss limitations?</w:t>
      </w:r>
    </w:p>
    <w:p w14:paraId="078B1981" w14:textId="28D949C1" w:rsidR="00946BE5" w:rsidRDefault="00946BE5" w:rsidP="00946BE5">
      <w:pPr>
        <w:numPr>
          <w:ilvl w:val="1"/>
          <w:numId w:val="1"/>
        </w:numPr>
        <w:outlineLvl w:val="0"/>
      </w:pPr>
      <w:r>
        <w:t xml:space="preserve">How much of the loss from part </w:t>
      </w:r>
      <w:r w:rsidR="00CA4B1B">
        <w:t>(</w:t>
      </w:r>
      <w:r>
        <w:t>a</w:t>
      </w:r>
      <w:r w:rsidR="00CA4B1B">
        <w:t>)</w:t>
      </w:r>
      <w:r>
        <w:t xml:space="preserve"> </w:t>
      </w:r>
      <w:r w:rsidR="00CA4B1B">
        <w:t>is allowed under the at-risk limitations?</w:t>
      </w:r>
    </w:p>
    <w:p w14:paraId="7E5E2E58" w14:textId="77777777" w:rsidR="00946BE5" w:rsidRDefault="00946BE5" w:rsidP="00946BE5">
      <w:pPr>
        <w:numPr>
          <w:ilvl w:val="1"/>
          <w:numId w:val="1"/>
        </w:numPr>
        <w:outlineLvl w:val="0"/>
      </w:pPr>
      <w:r>
        <w:t>How much of Rubio’s $22,000 loss from the limited partnership can he deduct in the current year considering all limitations?</w:t>
      </w:r>
    </w:p>
    <w:p w14:paraId="7E24E6EB" w14:textId="77777777" w:rsidR="00745022" w:rsidRDefault="00745022" w:rsidP="00856A38">
      <w:pPr>
        <w:ind w:left="1440"/>
        <w:outlineLvl w:val="0"/>
        <w:rPr>
          <w:i/>
        </w:rPr>
      </w:pPr>
    </w:p>
    <w:p w14:paraId="68BBB670" w14:textId="6308C552" w:rsidR="00745022" w:rsidRDefault="00946BE5" w:rsidP="00946BE5">
      <w:pPr>
        <w:ind w:left="1440" w:hanging="360"/>
        <w:outlineLvl w:val="0"/>
        <w:rPr>
          <w:i/>
        </w:rPr>
      </w:pPr>
      <w:r>
        <w:rPr>
          <w:i/>
        </w:rPr>
        <w:t>a.</w:t>
      </w:r>
      <w:r>
        <w:rPr>
          <w:i/>
        </w:rPr>
        <w:tab/>
      </w:r>
      <w:r w:rsidR="00745022" w:rsidRPr="007C6D51">
        <w:rPr>
          <w:i/>
        </w:rPr>
        <w:t xml:space="preserve">Rubio’s initial tax basis in the limited partnership </w:t>
      </w:r>
      <w:r w:rsidR="00973A94">
        <w:rPr>
          <w:i/>
        </w:rPr>
        <w:t xml:space="preserve">is </w:t>
      </w:r>
      <w:r w:rsidR="00745022" w:rsidRPr="007C6D51">
        <w:rPr>
          <w:i/>
        </w:rPr>
        <w:t>$20,000</w:t>
      </w:r>
      <w:r w:rsidR="000C1A4C">
        <w:rPr>
          <w:i/>
        </w:rPr>
        <w:t xml:space="preserve">. </w:t>
      </w:r>
      <w:r w:rsidR="00745022" w:rsidRPr="007C6D51">
        <w:rPr>
          <w:i/>
        </w:rPr>
        <w:t>Rubio’s $22,000 loss reduces his tax basis to zero leaving him with a $2,000 loss carryover because of the tax basis loss limitation.</w:t>
      </w:r>
    </w:p>
    <w:p w14:paraId="0452C447" w14:textId="77777777" w:rsidR="00745022" w:rsidRDefault="00745022" w:rsidP="00946BE5">
      <w:pPr>
        <w:ind w:left="1080" w:hanging="360"/>
        <w:outlineLvl w:val="0"/>
      </w:pPr>
    </w:p>
    <w:p w14:paraId="7640863F" w14:textId="6286C470" w:rsidR="00745022" w:rsidRDefault="00946BE5" w:rsidP="00946BE5">
      <w:pPr>
        <w:ind w:left="1440" w:hanging="360"/>
        <w:outlineLvl w:val="0"/>
        <w:rPr>
          <w:i/>
        </w:rPr>
      </w:pPr>
      <w:r>
        <w:rPr>
          <w:i/>
        </w:rPr>
        <w:t>b.</w:t>
      </w:r>
      <w:r>
        <w:rPr>
          <w:i/>
        </w:rPr>
        <w:tab/>
      </w:r>
      <w:r w:rsidR="00745022" w:rsidRPr="007C6D51">
        <w:rPr>
          <w:i/>
        </w:rPr>
        <w:t xml:space="preserve">Rubio’s initial </w:t>
      </w:r>
      <w:r w:rsidR="00745022">
        <w:rPr>
          <w:i/>
        </w:rPr>
        <w:t>at-risk amount</w:t>
      </w:r>
      <w:r w:rsidR="00745022" w:rsidRPr="007C6D51">
        <w:rPr>
          <w:i/>
        </w:rPr>
        <w:t xml:space="preserve"> in the limited partnership</w:t>
      </w:r>
      <w:r w:rsidR="00973A94">
        <w:rPr>
          <w:i/>
        </w:rPr>
        <w:t xml:space="preserve"> is $15,000</w:t>
      </w:r>
      <w:r w:rsidR="000C1A4C">
        <w:rPr>
          <w:i/>
        </w:rPr>
        <w:t xml:space="preserve">. </w:t>
      </w:r>
      <w:r w:rsidR="00745022" w:rsidRPr="007C6D51">
        <w:rPr>
          <w:i/>
        </w:rPr>
        <w:t>Rubio’s $22,000 loss reduces his</w:t>
      </w:r>
      <w:r w:rsidR="00745022">
        <w:rPr>
          <w:i/>
        </w:rPr>
        <w:t xml:space="preserve"> at-risk amount</w:t>
      </w:r>
      <w:r w:rsidR="00745022" w:rsidRPr="007C6D51">
        <w:rPr>
          <w:i/>
        </w:rPr>
        <w:t xml:space="preserve"> to zero leaving him with a $</w:t>
      </w:r>
      <w:r w:rsidR="00745022">
        <w:rPr>
          <w:i/>
        </w:rPr>
        <w:t>5</w:t>
      </w:r>
      <w:r w:rsidR="00745022" w:rsidRPr="007C6D51">
        <w:rPr>
          <w:i/>
        </w:rPr>
        <w:t xml:space="preserve">,000 </w:t>
      </w:r>
      <w:r w:rsidR="00745022">
        <w:rPr>
          <w:i/>
        </w:rPr>
        <w:t>at-risk</w:t>
      </w:r>
      <w:r w:rsidR="00745022" w:rsidRPr="007C6D51">
        <w:rPr>
          <w:i/>
        </w:rPr>
        <w:t xml:space="preserve"> carryover </w:t>
      </w:r>
      <w:r w:rsidR="00745022">
        <w:rPr>
          <w:i/>
        </w:rPr>
        <w:t>($20,000 loss allowed under the tax basis limitation less the $15,000 amount Rubio has at risk).</w:t>
      </w:r>
    </w:p>
    <w:p w14:paraId="246B1068" w14:textId="77777777" w:rsidR="00745022" w:rsidRDefault="00745022" w:rsidP="00946BE5">
      <w:pPr>
        <w:ind w:left="1440" w:hanging="360"/>
        <w:outlineLvl w:val="0"/>
      </w:pPr>
      <w:r>
        <w:rPr>
          <w:i/>
        </w:rPr>
        <w:t xml:space="preserve"> </w:t>
      </w:r>
    </w:p>
    <w:p w14:paraId="3A612073" w14:textId="2485A588" w:rsidR="00745022" w:rsidRPr="00856A38" w:rsidRDefault="00946BE5" w:rsidP="00946BE5">
      <w:pPr>
        <w:ind w:left="1440" w:hanging="360"/>
        <w:outlineLvl w:val="0"/>
        <w:rPr>
          <w:i/>
        </w:rPr>
      </w:pPr>
      <w:r>
        <w:rPr>
          <w:i/>
        </w:rPr>
        <w:t>c.</w:t>
      </w:r>
      <w:r>
        <w:rPr>
          <w:i/>
        </w:rPr>
        <w:tab/>
      </w:r>
      <w:r w:rsidR="00745022" w:rsidRPr="00856A38">
        <w:rPr>
          <w:i/>
        </w:rPr>
        <w:t>After applying the tax basis and at</w:t>
      </w:r>
      <w:r w:rsidR="00745022">
        <w:rPr>
          <w:i/>
        </w:rPr>
        <w:t>-</w:t>
      </w:r>
      <w:r w:rsidR="00745022" w:rsidRPr="00856A38">
        <w:rPr>
          <w:i/>
        </w:rPr>
        <w:t>risk limitations, Rubio can potentially deduct $15,000 of loss</w:t>
      </w:r>
      <w:r w:rsidR="000C1A4C">
        <w:rPr>
          <w:i/>
        </w:rPr>
        <w:t xml:space="preserve">. </w:t>
      </w:r>
      <w:r w:rsidR="00745022" w:rsidRPr="00856A38">
        <w:rPr>
          <w:i/>
        </w:rPr>
        <w:t>However, because Rubio is a limited partner this loss is considered a passive loss</w:t>
      </w:r>
      <w:r w:rsidR="000C1A4C">
        <w:rPr>
          <w:i/>
        </w:rPr>
        <w:t xml:space="preserve">. </w:t>
      </w:r>
      <w:r w:rsidR="00745022" w:rsidRPr="00856A38">
        <w:rPr>
          <w:i/>
        </w:rPr>
        <w:t>Therefore, Rubio may only deduct this loss in the current year to the extent he has passive income</w:t>
      </w:r>
      <w:r w:rsidR="000C1A4C">
        <w:rPr>
          <w:i/>
        </w:rPr>
        <w:t xml:space="preserve">. </w:t>
      </w:r>
      <w:r w:rsidR="00745022" w:rsidRPr="00856A38">
        <w:rPr>
          <w:i/>
        </w:rPr>
        <w:t xml:space="preserve">Because </w:t>
      </w:r>
      <w:r w:rsidR="00745022">
        <w:rPr>
          <w:i/>
        </w:rPr>
        <w:t>Rubio</w:t>
      </w:r>
      <w:r w:rsidR="00745022" w:rsidRPr="00856A38">
        <w:rPr>
          <w:i/>
        </w:rPr>
        <w:t xml:space="preserve"> has </w:t>
      </w:r>
      <w:r w:rsidR="00745022">
        <w:rPr>
          <w:i/>
        </w:rPr>
        <w:t xml:space="preserve">only </w:t>
      </w:r>
      <w:r w:rsidR="00745022" w:rsidRPr="00856A38">
        <w:rPr>
          <w:i/>
        </w:rPr>
        <w:t xml:space="preserve">passive income of $5,000 (from another limited partnership), he may only deduct $5,000 of the $15,000 loss leaving him with a $10,000 passive activity loss </w:t>
      </w:r>
      <w:r w:rsidR="004A59EC">
        <w:rPr>
          <w:i/>
        </w:rPr>
        <w:t xml:space="preserve">that can be </w:t>
      </w:r>
      <w:r w:rsidR="00745022" w:rsidRPr="00856A38">
        <w:rPr>
          <w:i/>
        </w:rPr>
        <w:t>carr</w:t>
      </w:r>
      <w:r w:rsidR="004A59EC">
        <w:rPr>
          <w:i/>
        </w:rPr>
        <w:t>ied</w:t>
      </w:r>
      <w:r w:rsidR="00745022" w:rsidRPr="00856A38">
        <w:rPr>
          <w:i/>
        </w:rPr>
        <w:t xml:space="preserve"> forward</w:t>
      </w:r>
      <w:r w:rsidR="004A59EC">
        <w:rPr>
          <w:i/>
        </w:rPr>
        <w:t xml:space="preserve"> indefinitely</w:t>
      </w:r>
      <w:r w:rsidR="00745022" w:rsidRPr="00856A38">
        <w:rPr>
          <w:i/>
        </w:rPr>
        <w:t>.</w:t>
      </w:r>
    </w:p>
    <w:p w14:paraId="3B26BE3C" w14:textId="77777777" w:rsidR="00745022" w:rsidRDefault="00745022" w:rsidP="00856A38">
      <w:pPr>
        <w:ind w:left="1440"/>
        <w:outlineLvl w:val="0"/>
      </w:pPr>
    </w:p>
    <w:p w14:paraId="585CD132" w14:textId="0DF20BCF" w:rsidR="00FC155A" w:rsidRPr="0011133E" w:rsidRDefault="00CC341C" w:rsidP="00FC155A">
      <w:pPr>
        <w:pStyle w:val="ListParagraph"/>
        <w:numPr>
          <w:ilvl w:val="0"/>
          <w:numId w:val="1"/>
        </w:numPr>
        <w:spacing w:before="120"/>
        <w:rPr>
          <w:szCs w:val="20"/>
        </w:rPr>
      </w:pPr>
      <w:r>
        <w:rPr>
          <w:szCs w:val="20"/>
        </w:rPr>
        <w:t>[LO 4]</w:t>
      </w:r>
      <w:r w:rsidR="00CA4B1B">
        <w:rPr>
          <w:szCs w:val="20"/>
        </w:rPr>
        <w:t xml:space="preserve"> </w:t>
      </w:r>
      <w:r w:rsidR="00FC155A" w:rsidRPr="0011133E">
        <w:rPr>
          <w:szCs w:val="20"/>
        </w:rPr>
        <w:t>Molly Grey (single) acquired a 30</w:t>
      </w:r>
      <w:r w:rsidR="00064BD6">
        <w:rPr>
          <w:szCs w:val="20"/>
        </w:rPr>
        <w:t xml:space="preserve"> percent</w:t>
      </w:r>
      <w:r w:rsidR="00FC155A" w:rsidRPr="0011133E">
        <w:rPr>
          <w:szCs w:val="20"/>
        </w:rPr>
        <w:t xml:space="preserve"> limited partnership interest in Beau Geste LLP </w:t>
      </w:r>
      <w:r w:rsidR="00623E5D">
        <w:rPr>
          <w:szCs w:val="20"/>
        </w:rPr>
        <w:t>several years ago</w:t>
      </w:r>
      <w:r w:rsidR="00FC155A" w:rsidRPr="0011133E">
        <w:rPr>
          <w:szCs w:val="20"/>
        </w:rPr>
        <w:t xml:space="preserve"> for $48,000. At the beginning of </w:t>
      </w:r>
      <w:r w:rsidR="00623E5D">
        <w:rPr>
          <w:szCs w:val="20"/>
        </w:rPr>
        <w:t>year 1</w:t>
      </w:r>
      <w:r w:rsidR="00FC155A" w:rsidRPr="0011133E">
        <w:rPr>
          <w:szCs w:val="20"/>
        </w:rPr>
        <w:t xml:space="preserve">, Molly </w:t>
      </w:r>
      <w:r w:rsidR="0011133E">
        <w:rPr>
          <w:szCs w:val="20"/>
        </w:rPr>
        <w:t xml:space="preserve">has tax </w:t>
      </w:r>
      <w:r w:rsidR="00064BD6">
        <w:rPr>
          <w:szCs w:val="20"/>
        </w:rPr>
        <w:t xml:space="preserve">basis </w:t>
      </w:r>
      <w:r w:rsidR="0011133E">
        <w:rPr>
          <w:szCs w:val="20"/>
        </w:rPr>
        <w:t>and</w:t>
      </w:r>
      <w:r w:rsidR="00064BD6">
        <w:rPr>
          <w:szCs w:val="20"/>
        </w:rPr>
        <w:t xml:space="preserve"> an</w:t>
      </w:r>
      <w:r w:rsidR="00FC155A" w:rsidRPr="0011133E">
        <w:rPr>
          <w:szCs w:val="20"/>
        </w:rPr>
        <w:t xml:space="preserve"> at</w:t>
      </w:r>
      <w:r w:rsidR="0011133E">
        <w:rPr>
          <w:szCs w:val="20"/>
        </w:rPr>
        <w:t>-</w:t>
      </w:r>
      <w:r w:rsidR="00FC155A" w:rsidRPr="0011133E">
        <w:rPr>
          <w:szCs w:val="20"/>
        </w:rPr>
        <w:t>risk</w:t>
      </w:r>
      <w:r w:rsidR="00064BD6">
        <w:rPr>
          <w:szCs w:val="20"/>
        </w:rPr>
        <w:t xml:space="preserve"> amount</w:t>
      </w:r>
      <w:r w:rsidR="00FC155A" w:rsidRPr="0011133E">
        <w:rPr>
          <w:szCs w:val="20"/>
        </w:rPr>
        <w:t xml:space="preserve"> of $20,000. In </w:t>
      </w:r>
      <w:r w:rsidR="00623E5D">
        <w:rPr>
          <w:szCs w:val="20"/>
        </w:rPr>
        <w:t>year 1</w:t>
      </w:r>
      <w:r w:rsidR="00FC155A" w:rsidRPr="0011133E">
        <w:rPr>
          <w:szCs w:val="20"/>
        </w:rPr>
        <w:t xml:space="preserve">, Beau Geste incurs a loss of $180,000 and does not make any distributions to the partners. </w:t>
      </w:r>
    </w:p>
    <w:p w14:paraId="7BD25D5A" w14:textId="77777777" w:rsidR="00FC155A" w:rsidRPr="0011133E" w:rsidRDefault="00FC155A" w:rsidP="00064BD6">
      <w:pPr>
        <w:numPr>
          <w:ilvl w:val="0"/>
          <w:numId w:val="29"/>
        </w:numPr>
        <w:spacing w:before="120"/>
        <w:rPr>
          <w:szCs w:val="20"/>
        </w:rPr>
      </w:pPr>
      <w:r w:rsidRPr="0011133E">
        <w:rPr>
          <w:szCs w:val="20"/>
        </w:rPr>
        <w:t xml:space="preserve">In </w:t>
      </w:r>
      <w:r w:rsidR="00623E5D">
        <w:rPr>
          <w:szCs w:val="20"/>
        </w:rPr>
        <w:t>year 1</w:t>
      </w:r>
      <w:r w:rsidRPr="0011133E">
        <w:rPr>
          <w:szCs w:val="20"/>
        </w:rPr>
        <w:t>, Molly‘s AGI (excluding any income or loss from Beau Geste) is $60,000. This includes $10,000 of passive</w:t>
      </w:r>
      <w:r w:rsidRPr="0011133E">
        <w:rPr>
          <w:color w:val="FF0000"/>
          <w:szCs w:val="20"/>
        </w:rPr>
        <w:t xml:space="preserve"> </w:t>
      </w:r>
      <w:r w:rsidRPr="0011133E">
        <w:rPr>
          <w:szCs w:val="20"/>
        </w:rPr>
        <w:t>income</w:t>
      </w:r>
      <w:r w:rsidRPr="0011133E">
        <w:rPr>
          <w:color w:val="FF0000"/>
          <w:szCs w:val="20"/>
        </w:rPr>
        <w:t xml:space="preserve"> </w:t>
      </w:r>
      <w:r w:rsidRPr="0011133E">
        <w:rPr>
          <w:szCs w:val="20"/>
        </w:rPr>
        <w:t>from other passive activities.</w:t>
      </w:r>
    </w:p>
    <w:p w14:paraId="50543F01" w14:textId="77777777" w:rsidR="00FC155A" w:rsidRPr="0011133E" w:rsidRDefault="00FC155A" w:rsidP="00064BD6">
      <w:pPr>
        <w:numPr>
          <w:ilvl w:val="0"/>
          <w:numId w:val="29"/>
        </w:numPr>
        <w:spacing w:before="120"/>
        <w:rPr>
          <w:szCs w:val="20"/>
        </w:rPr>
      </w:pPr>
      <w:r w:rsidRPr="0011133E">
        <w:rPr>
          <w:szCs w:val="20"/>
        </w:rPr>
        <w:t xml:space="preserve">In </w:t>
      </w:r>
      <w:r w:rsidR="00623E5D">
        <w:rPr>
          <w:szCs w:val="20"/>
        </w:rPr>
        <w:t>year 2</w:t>
      </w:r>
      <w:r w:rsidRPr="0011133E">
        <w:rPr>
          <w:szCs w:val="20"/>
        </w:rPr>
        <w:t xml:space="preserve">, Beau Geste earns income of $30,000. In addition, Molly contributes an additional $30,000 to Beau Geste during </w:t>
      </w:r>
      <w:r w:rsidR="00F76BCF">
        <w:rPr>
          <w:szCs w:val="20"/>
        </w:rPr>
        <w:t>year 2</w:t>
      </w:r>
      <w:r w:rsidRPr="0011133E">
        <w:rPr>
          <w:szCs w:val="20"/>
        </w:rPr>
        <w:t xml:space="preserve">. Molly’s AGI in </w:t>
      </w:r>
      <w:r w:rsidR="00623E5D">
        <w:rPr>
          <w:szCs w:val="20"/>
        </w:rPr>
        <w:t>year 2</w:t>
      </w:r>
      <w:r w:rsidRPr="0011133E">
        <w:rPr>
          <w:szCs w:val="20"/>
        </w:rPr>
        <w:t xml:space="preserve"> is $63,000 (excluding any income or loss from Beau Geste). This amount includes $8,000 in income from her other passive investments.</w:t>
      </w:r>
    </w:p>
    <w:p w14:paraId="4B01E633" w14:textId="77777777" w:rsidR="00FC155A" w:rsidRPr="0011133E" w:rsidRDefault="00FC155A" w:rsidP="0011133E">
      <w:pPr>
        <w:pStyle w:val="ListParagraph"/>
        <w:numPr>
          <w:ilvl w:val="0"/>
          <w:numId w:val="24"/>
        </w:numPr>
        <w:spacing w:before="120"/>
        <w:rPr>
          <w:szCs w:val="20"/>
        </w:rPr>
      </w:pPr>
      <w:r w:rsidRPr="0011133E">
        <w:rPr>
          <w:szCs w:val="20"/>
        </w:rPr>
        <w:t>Based on the above information, determine the following amounts:</w:t>
      </w:r>
    </w:p>
    <w:p w14:paraId="22E90E64" w14:textId="77777777" w:rsidR="00FC155A" w:rsidRPr="0011133E" w:rsidRDefault="00FC155A" w:rsidP="00064BD6">
      <w:pPr>
        <w:numPr>
          <w:ilvl w:val="1"/>
          <w:numId w:val="30"/>
        </w:numPr>
        <w:tabs>
          <w:tab w:val="left" w:pos="6300"/>
          <w:tab w:val="left" w:pos="7920"/>
        </w:tabs>
        <w:spacing w:before="120"/>
        <w:rPr>
          <w:szCs w:val="20"/>
        </w:rPr>
      </w:pPr>
      <w:r w:rsidRPr="0011133E">
        <w:rPr>
          <w:szCs w:val="20"/>
        </w:rPr>
        <w:t xml:space="preserve">At-risk </w:t>
      </w:r>
      <w:r w:rsidR="00064BD6">
        <w:rPr>
          <w:szCs w:val="20"/>
        </w:rPr>
        <w:t>amount</w:t>
      </w:r>
      <w:r w:rsidR="00064BD6" w:rsidRPr="0011133E">
        <w:rPr>
          <w:szCs w:val="20"/>
        </w:rPr>
        <w:t xml:space="preserve"> </w:t>
      </w:r>
      <w:r w:rsidRPr="0011133E">
        <w:rPr>
          <w:szCs w:val="20"/>
        </w:rPr>
        <w:t xml:space="preserve">at the end of </w:t>
      </w:r>
      <w:r w:rsidR="00623E5D">
        <w:rPr>
          <w:szCs w:val="20"/>
        </w:rPr>
        <w:t>year 1</w:t>
      </w:r>
      <w:r w:rsidRPr="0011133E">
        <w:rPr>
          <w:szCs w:val="20"/>
        </w:rPr>
        <w:tab/>
      </w:r>
    </w:p>
    <w:p w14:paraId="61D9E054" w14:textId="77777777" w:rsidR="00FC155A" w:rsidRPr="0011133E" w:rsidRDefault="00FC155A" w:rsidP="00064BD6">
      <w:pPr>
        <w:numPr>
          <w:ilvl w:val="1"/>
          <w:numId w:val="30"/>
        </w:numPr>
        <w:tabs>
          <w:tab w:val="left" w:pos="6300"/>
          <w:tab w:val="left" w:pos="7560"/>
        </w:tabs>
        <w:spacing w:before="120"/>
        <w:rPr>
          <w:szCs w:val="20"/>
        </w:rPr>
      </w:pPr>
      <w:r w:rsidRPr="0011133E">
        <w:rPr>
          <w:szCs w:val="20"/>
        </w:rPr>
        <w:t xml:space="preserve">At-risk </w:t>
      </w:r>
      <w:r w:rsidR="00064BD6">
        <w:rPr>
          <w:szCs w:val="20"/>
        </w:rPr>
        <w:t>amount</w:t>
      </w:r>
      <w:r w:rsidR="00064BD6" w:rsidRPr="0011133E">
        <w:rPr>
          <w:szCs w:val="20"/>
        </w:rPr>
        <w:t xml:space="preserve"> </w:t>
      </w:r>
      <w:r w:rsidRPr="0011133E">
        <w:rPr>
          <w:szCs w:val="20"/>
        </w:rPr>
        <w:t xml:space="preserve">at the end of </w:t>
      </w:r>
      <w:r w:rsidR="00623E5D">
        <w:rPr>
          <w:szCs w:val="20"/>
        </w:rPr>
        <w:t xml:space="preserve">year </w:t>
      </w:r>
      <w:r w:rsidRPr="0011133E">
        <w:rPr>
          <w:szCs w:val="20"/>
        </w:rPr>
        <w:t>2</w:t>
      </w:r>
      <w:r w:rsidRPr="0011133E">
        <w:rPr>
          <w:szCs w:val="20"/>
        </w:rPr>
        <w:tab/>
      </w:r>
    </w:p>
    <w:p w14:paraId="7E7FD3B9" w14:textId="77777777" w:rsidR="00FC155A" w:rsidRPr="0011133E" w:rsidRDefault="00FC155A" w:rsidP="00064BD6">
      <w:pPr>
        <w:numPr>
          <w:ilvl w:val="1"/>
          <w:numId w:val="30"/>
        </w:numPr>
        <w:tabs>
          <w:tab w:val="left" w:pos="6300"/>
          <w:tab w:val="left" w:pos="7560"/>
        </w:tabs>
        <w:spacing w:before="120"/>
        <w:rPr>
          <w:szCs w:val="20"/>
        </w:rPr>
      </w:pPr>
      <w:r w:rsidRPr="0011133E">
        <w:rPr>
          <w:szCs w:val="20"/>
        </w:rPr>
        <w:t>Losses allowed under the at-risk rules in</w:t>
      </w:r>
      <w:r w:rsidR="00623E5D">
        <w:rPr>
          <w:szCs w:val="20"/>
        </w:rPr>
        <w:t xml:space="preserve"> year </w:t>
      </w:r>
      <w:r w:rsidRPr="0011133E">
        <w:rPr>
          <w:szCs w:val="20"/>
        </w:rPr>
        <w:t xml:space="preserve">2 </w:t>
      </w:r>
      <w:r w:rsidRPr="0011133E">
        <w:rPr>
          <w:szCs w:val="20"/>
        </w:rPr>
        <w:tab/>
      </w:r>
    </w:p>
    <w:p w14:paraId="08EA5EEA" w14:textId="77777777" w:rsidR="00FC155A" w:rsidRPr="0011133E" w:rsidRDefault="00FC155A" w:rsidP="00064BD6">
      <w:pPr>
        <w:numPr>
          <w:ilvl w:val="1"/>
          <w:numId w:val="30"/>
        </w:numPr>
        <w:tabs>
          <w:tab w:val="left" w:pos="6300"/>
          <w:tab w:val="left" w:pos="7560"/>
        </w:tabs>
        <w:spacing w:before="120"/>
        <w:rPr>
          <w:szCs w:val="20"/>
        </w:rPr>
      </w:pPr>
      <w:r w:rsidRPr="0011133E">
        <w:rPr>
          <w:szCs w:val="20"/>
        </w:rPr>
        <w:t xml:space="preserve">Total suspended passive losses at the end of </w:t>
      </w:r>
      <w:r w:rsidR="00623E5D">
        <w:rPr>
          <w:szCs w:val="20"/>
        </w:rPr>
        <w:t xml:space="preserve">year </w:t>
      </w:r>
      <w:r w:rsidRPr="0011133E">
        <w:rPr>
          <w:szCs w:val="20"/>
        </w:rPr>
        <w:t>1</w:t>
      </w:r>
      <w:r w:rsidRPr="0011133E">
        <w:rPr>
          <w:szCs w:val="20"/>
        </w:rPr>
        <w:tab/>
      </w:r>
    </w:p>
    <w:p w14:paraId="2247F07B" w14:textId="77777777" w:rsidR="00FC155A" w:rsidRPr="0011133E" w:rsidRDefault="00FC155A" w:rsidP="00064BD6">
      <w:pPr>
        <w:numPr>
          <w:ilvl w:val="1"/>
          <w:numId w:val="30"/>
        </w:numPr>
        <w:tabs>
          <w:tab w:val="left" w:pos="6300"/>
          <w:tab w:val="left" w:pos="7560"/>
        </w:tabs>
        <w:spacing w:before="120"/>
        <w:rPr>
          <w:szCs w:val="20"/>
        </w:rPr>
      </w:pPr>
      <w:r w:rsidRPr="0011133E">
        <w:rPr>
          <w:szCs w:val="20"/>
        </w:rPr>
        <w:t xml:space="preserve">Total suspended at-risk losses at the end of </w:t>
      </w:r>
      <w:r w:rsidR="00623E5D">
        <w:rPr>
          <w:szCs w:val="20"/>
        </w:rPr>
        <w:t xml:space="preserve">year </w:t>
      </w:r>
      <w:r w:rsidRPr="0011133E">
        <w:rPr>
          <w:szCs w:val="20"/>
        </w:rPr>
        <w:t>2</w:t>
      </w:r>
      <w:r w:rsidRPr="0011133E">
        <w:rPr>
          <w:szCs w:val="20"/>
        </w:rPr>
        <w:tab/>
      </w:r>
    </w:p>
    <w:p w14:paraId="3CE15E60" w14:textId="77777777" w:rsidR="00FC155A" w:rsidRPr="0011133E" w:rsidRDefault="00FC155A" w:rsidP="00064BD6">
      <w:pPr>
        <w:numPr>
          <w:ilvl w:val="1"/>
          <w:numId w:val="30"/>
        </w:numPr>
        <w:tabs>
          <w:tab w:val="left" w:pos="6300"/>
          <w:tab w:val="left" w:pos="7560"/>
        </w:tabs>
        <w:spacing w:before="120"/>
        <w:rPr>
          <w:szCs w:val="20"/>
        </w:rPr>
      </w:pPr>
      <w:r w:rsidRPr="0011133E">
        <w:rPr>
          <w:szCs w:val="20"/>
        </w:rPr>
        <w:t xml:space="preserve">Deductible losses in </w:t>
      </w:r>
      <w:r w:rsidR="00623E5D">
        <w:rPr>
          <w:szCs w:val="20"/>
        </w:rPr>
        <w:t xml:space="preserve">year </w:t>
      </w:r>
      <w:r w:rsidRPr="0011133E">
        <w:rPr>
          <w:szCs w:val="20"/>
        </w:rPr>
        <w:t>1</w:t>
      </w:r>
      <w:r w:rsidRPr="0011133E">
        <w:rPr>
          <w:szCs w:val="20"/>
        </w:rPr>
        <w:tab/>
      </w:r>
    </w:p>
    <w:p w14:paraId="2CEE4B7D" w14:textId="77777777" w:rsidR="00FC155A" w:rsidRPr="0011133E" w:rsidRDefault="00623E5D" w:rsidP="00064BD6">
      <w:pPr>
        <w:numPr>
          <w:ilvl w:val="1"/>
          <w:numId w:val="30"/>
        </w:numPr>
        <w:tabs>
          <w:tab w:val="left" w:pos="6300"/>
          <w:tab w:val="left" w:pos="7560"/>
        </w:tabs>
        <w:spacing w:before="120"/>
        <w:rPr>
          <w:szCs w:val="20"/>
        </w:rPr>
      </w:pPr>
      <w:r>
        <w:rPr>
          <w:szCs w:val="20"/>
        </w:rPr>
        <w:t>Year 2</w:t>
      </w:r>
      <w:r w:rsidR="00FC155A" w:rsidRPr="0011133E">
        <w:rPr>
          <w:szCs w:val="20"/>
        </w:rPr>
        <w:t xml:space="preserve"> AGI after considering Beau Geste events</w:t>
      </w:r>
      <w:r w:rsidR="00FC155A" w:rsidRPr="0011133E">
        <w:rPr>
          <w:szCs w:val="20"/>
        </w:rPr>
        <w:tab/>
      </w:r>
    </w:p>
    <w:p w14:paraId="4CD2C03E" w14:textId="77777777" w:rsidR="00FC155A" w:rsidRPr="0011133E" w:rsidRDefault="00FC155A" w:rsidP="00F76BCF">
      <w:pPr>
        <w:numPr>
          <w:ilvl w:val="0"/>
          <w:numId w:val="24"/>
        </w:numPr>
        <w:tabs>
          <w:tab w:val="left" w:pos="990"/>
          <w:tab w:val="left" w:pos="5760"/>
          <w:tab w:val="left" w:pos="7560"/>
        </w:tabs>
        <w:spacing w:before="240"/>
        <w:rPr>
          <w:szCs w:val="20"/>
        </w:rPr>
      </w:pPr>
      <w:r w:rsidRPr="0011133E">
        <w:rPr>
          <w:szCs w:val="20"/>
        </w:rPr>
        <w:t xml:space="preserve">Briefly describe actions Molly Grey could undertake in </w:t>
      </w:r>
      <w:r w:rsidR="00623E5D">
        <w:rPr>
          <w:szCs w:val="20"/>
        </w:rPr>
        <w:t>year 2</w:t>
      </w:r>
      <w:r w:rsidRPr="0011133E">
        <w:rPr>
          <w:szCs w:val="20"/>
        </w:rPr>
        <w:t xml:space="preserve"> to utilize any suspended passive losses from </w:t>
      </w:r>
      <w:r w:rsidR="00623E5D">
        <w:rPr>
          <w:szCs w:val="20"/>
        </w:rPr>
        <w:t>year 1</w:t>
      </w:r>
      <w:r w:rsidRPr="0011133E">
        <w:rPr>
          <w:szCs w:val="20"/>
        </w:rPr>
        <w:t>.</w:t>
      </w:r>
    </w:p>
    <w:p w14:paraId="4C25EF74" w14:textId="77777777" w:rsidR="00FC155A" w:rsidRPr="00025892" w:rsidRDefault="00FC155A" w:rsidP="00FC155A">
      <w:pPr>
        <w:rPr>
          <w:i/>
          <w:color w:val="FF0000"/>
          <w:szCs w:val="20"/>
        </w:rPr>
      </w:pPr>
    </w:p>
    <w:p w14:paraId="66600251" w14:textId="77777777" w:rsidR="00646930" w:rsidRPr="00064BD6" w:rsidRDefault="00646930" w:rsidP="00064BD6">
      <w:pPr>
        <w:spacing w:before="120"/>
        <w:ind w:left="450"/>
        <w:rPr>
          <w:b/>
          <w:i/>
          <w:szCs w:val="20"/>
        </w:rPr>
      </w:pPr>
      <w:r w:rsidRPr="00064BD6">
        <w:rPr>
          <w:i/>
          <w:szCs w:val="20"/>
        </w:rPr>
        <w:t>To determine the required amounts, Molly must determine her at-risk basis for each year.</w:t>
      </w:r>
    </w:p>
    <w:p w14:paraId="0C45BAB7" w14:textId="77777777" w:rsidR="00FC155A" w:rsidRPr="00025892" w:rsidRDefault="00FC155A" w:rsidP="00646930">
      <w:pPr>
        <w:spacing w:before="120"/>
        <w:ind w:left="720"/>
        <w:rPr>
          <w:i/>
          <w:szCs w:val="20"/>
        </w:rPr>
      </w:pPr>
      <w:r w:rsidRPr="00025892">
        <w:rPr>
          <w:i/>
          <w:szCs w:val="20"/>
        </w:rPr>
        <w:t xml:space="preserve"> </w:t>
      </w:r>
      <w:r w:rsidRPr="00025892">
        <w:rPr>
          <w:b/>
          <w:i/>
          <w:szCs w:val="20"/>
        </w:rPr>
        <w:t xml:space="preserve">At-Risk </w:t>
      </w:r>
      <w:r w:rsidR="00007FF9">
        <w:rPr>
          <w:b/>
          <w:i/>
          <w:szCs w:val="20"/>
        </w:rPr>
        <w:t>Amount</w:t>
      </w:r>
      <w:r w:rsidRPr="00025892">
        <w:rPr>
          <w:i/>
          <w:szCs w:val="20"/>
        </w:rPr>
        <w:t>:</w:t>
      </w:r>
    </w:p>
    <w:p w14:paraId="6A18B76C" w14:textId="77777777" w:rsidR="00FC155A" w:rsidRPr="00025892" w:rsidRDefault="00FC155A" w:rsidP="00646930">
      <w:pPr>
        <w:tabs>
          <w:tab w:val="right" w:pos="5040"/>
          <w:tab w:val="left" w:pos="5400"/>
        </w:tabs>
        <w:ind w:left="720"/>
        <w:rPr>
          <w:i/>
          <w:szCs w:val="20"/>
        </w:rPr>
      </w:pPr>
      <w:r w:rsidRPr="00025892">
        <w:rPr>
          <w:i/>
          <w:szCs w:val="20"/>
        </w:rPr>
        <w:t>Initial</w:t>
      </w:r>
      <w:r w:rsidR="00623E5D">
        <w:rPr>
          <w:i/>
          <w:szCs w:val="20"/>
        </w:rPr>
        <w:t xml:space="preserve"> year 1 </w:t>
      </w:r>
      <w:r w:rsidR="00064BD6">
        <w:rPr>
          <w:i/>
          <w:szCs w:val="20"/>
        </w:rPr>
        <w:t>amount</w:t>
      </w:r>
      <w:r w:rsidRPr="00025892">
        <w:rPr>
          <w:i/>
          <w:szCs w:val="20"/>
        </w:rPr>
        <w:t>:</w:t>
      </w:r>
      <w:r w:rsidRPr="00025892">
        <w:rPr>
          <w:i/>
          <w:szCs w:val="20"/>
        </w:rPr>
        <w:tab/>
        <w:t xml:space="preserve"> </w:t>
      </w:r>
      <w:r w:rsidR="00646930" w:rsidRPr="00025892">
        <w:rPr>
          <w:i/>
          <w:szCs w:val="20"/>
        </w:rPr>
        <w:t xml:space="preserve">$ </w:t>
      </w:r>
      <w:r w:rsidRPr="00025892">
        <w:rPr>
          <w:i/>
          <w:szCs w:val="20"/>
        </w:rPr>
        <w:t>20,000</w:t>
      </w:r>
      <w:r w:rsidR="00646930" w:rsidRPr="00025892">
        <w:rPr>
          <w:i/>
          <w:szCs w:val="20"/>
        </w:rPr>
        <w:tab/>
        <w:t>Given in problem</w:t>
      </w:r>
    </w:p>
    <w:p w14:paraId="5141AC3C" w14:textId="77777777" w:rsidR="00FC155A" w:rsidRPr="00025892" w:rsidRDefault="00FC155A" w:rsidP="00646930">
      <w:pPr>
        <w:tabs>
          <w:tab w:val="right" w:pos="5040"/>
          <w:tab w:val="left" w:pos="5400"/>
        </w:tabs>
        <w:ind w:left="720"/>
        <w:rPr>
          <w:i/>
          <w:szCs w:val="20"/>
        </w:rPr>
      </w:pPr>
      <w:r w:rsidRPr="00025892">
        <w:rPr>
          <w:i/>
          <w:szCs w:val="20"/>
        </w:rPr>
        <w:t>Allowed loss:</w:t>
      </w:r>
      <w:r w:rsidRPr="00025892">
        <w:rPr>
          <w:i/>
          <w:szCs w:val="20"/>
        </w:rPr>
        <w:tab/>
      </w:r>
      <w:r w:rsidRPr="00025892">
        <w:rPr>
          <w:i/>
          <w:szCs w:val="20"/>
          <w:u w:val="single"/>
        </w:rPr>
        <w:t>(20,000)</w:t>
      </w:r>
      <w:r w:rsidR="00646930" w:rsidRPr="00025892">
        <w:rPr>
          <w:i/>
          <w:szCs w:val="20"/>
          <w:u w:val="single"/>
        </w:rPr>
        <w:t xml:space="preserve"> </w:t>
      </w:r>
      <w:r w:rsidR="00646930" w:rsidRPr="00025892">
        <w:rPr>
          <w:i/>
          <w:szCs w:val="20"/>
        </w:rPr>
        <w:tab/>
        <w:t>See below</w:t>
      </w:r>
    </w:p>
    <w:p w14:paraId="5F795941" w14:textId="77777777" w:rsidR="00FC155A" w:rsidRPr="00025892" w:rsidRDefault="00FC155A" w:rsidP="00646930">
      <w:pPr>
        <w:tabs>
          <w:tab w:val="right" w:pos="5040"/>
          <w:tab w:val="left" w:pos="5400"/>
        </w:tabs>
        <w:ind w:left="720"/>
        <w:rPr>
          <w:i/>
          <w:szCs w:val="20"/>
        </w:rPr>
      </w:pPr>
      <w:r w:rsidRPr="00025892">
        <w:rPr>
          <w:i/>
          <w:szCs w:val="20"/>
        </w:rPr>
        <w:t xml:space="preserve">       </w:t>
      </w:r>
      <w:r w:rsidR="00623E5D">
        <w:rPr>
          <w:i/>
          <w:szCs w:val="20"/>
        </w:rPr>
        <w:t>E</w:t>
      </w:r>
      <w:r w:rsidR="00646930" w:rsidRPr="00025892">
        <w:rPr>
          <w:i/>
          <w:szCs w:val="20"/>
        </w:rPr>
        <w:t>nd of year</w:t>
      </w:r>
      <w:r w:rsidRPr="00025892">
        <w:rPr>
          <w:i/>
          <w:szCs w:val="20"/>
        </w:rPr>
        <w:t xml:space="preserve"> </w:t>
      </w:r>
      <w:r w:rsidR="00623E5D">
        <w:rPr>
          <w:i/>
          <w:szCs w:val="20"/>
        </w:rPr>
        <w:t xml:space="preserve">1 at-risk </w:t>
      </w:r>
      <w:r w:rsidR="00064BD6">
        <w:rPr>
          <w:i/>
          <w:szCs w:val="20"/>
        </w:rPr>
        <w:t>amount</w:t>
      </w:r>
      <w:r w:rsidR="00064BD6" w:rsidRPr="00025892">
        <w:rPr>
          <w:i/>
          <w:szCs w:val="20"/>
        </w:rPr>
        <w:t xml:space="preserve">   </w:t>
      </w:r>
      <w:r w:rsidRPr="00025892">
        <w:rPr>
          <w:i/>
          <w:szCs w:val="20"/>
        </w:rPr>
        <w:tab/>
      </w:r>
      <w:r w:rsidR="00646930" w:rsidRPr="00025892">
        <w:rPr>
          <w:i/>
          <w:szCs w:val="20"/>
        </w:rPr>
        <w:t xml:space="preserve">$ </w:t>
      </w:r>
      <w:r w:rsidRPr="00025892">
        <w:rPr>
          <w:i/>
          <w:szCs w:val="20"/>
        </w:rPr>
        <w:t xml:space="preserve">-0-   </w:t>
      </w:r>
    </w:p>
    <w:p w14:paraId="4D61FC30" w14:textId="77777777" w:rsidR="00FC155A" w:rsidRPr="00025892" w:rsidRDefault="00646930" w:rsidP="00646930">
      <w:pPr>
        <w:tabs>
          <w:tab w:val="right" w:pos="5040"/>
          <w:tab w:val="left" w:pos="5400"/>
        </w:tabs>
        <w:spacing w:before="120"/>
        <w:ind w:left="720"/>
        <w:rPr>
          <w:i/>
          <w:szCs w:val="20"/>
        </w:rPr>
      </w:pPr>
      <w:r w:rsidRPr="00025892">
        <w:rPr>
          <w:i/>
          <w:szCs w:val="20"/>
        </w:rPr>
        <w:t xml:space="preserve">Contribution for </w:t>
      </w:r>
      <w:r w:rsidR="00623E5D">
        <w:rPr>
          <w:i/>
          <w:szCs w:val="20"/>
        </w:rPr>
        <w:t>year 2</w:t>
      </w:r>
      <w:r w:rsidRPr="00025892">
        <w:rPr>
          <w:i/>
          <w:szCs w:val="20"/>
        </w:rPr>
        <w:tab/>
        <w:t>$ 3</w:t>
      </w:r>
      <w:r w:rsidR="00FC155A" w:rsidRPr="00025892">
        <w:rPr>
          <w:i/>
          <w:szCs w:val="20"/>
        </w:rPr>
        <w:t>0,000</w:t>
      </w:r>
      <w:r w:rsidRPr="00025892">
        <w:rPr>
          <w:i/>
          <w:szCs w:val="20"/>
        </w:rPr>
        <w:tab/>
        <w:t>Given in problem</w:t>
      </w:r>
    </w:p>
    <w:p w14:paraId="431494A7" w14:textId="77777777" w:rsidR="00FC155A" w:rsidRPr="00025892" w:rsidRDefault="00FC155A" w:rsidP="00646930">
      <w:pPr>
        <w:tabs>
          <w:tab w:val="right" w:pos="5040"/>
          <w:tab w:val="left" w:pos="5400"/>
        </w:tabs>
        <w:ind w:left="720"/>
        <w:rPr>
          <w:i/>
          <w:szCs w:val="20"/>
        </w:rPr>
      </w:pPr>
      <w:r w:rsidRPr="00025892">
        <w:rPr>
          <w:i/>
          <w:szCs w:val="20"/>
        </w:rPr>
        <w:t>BG Income</w:t>
      </w:r>
      <w:r w:rsidR="009916D9">
        <w:rPr>
          <w:i/>
          <w:szCs w:val="20"/>
        </w:rPr>
        <w:t xml:space="preserve"> (30% x $30,000)</w:t>
      </w:r>
      <w:r w:rsidRPr="00025892">
        <w:rPr>
          <w:i/>
          <w:szCs w:val="20"/>
        </w:rPr>
        <w:tab/>
        <w:t>9,000</w:t>
      </w:r>
      <w:r w:rsidR="00646930" w:rsidRPr="00025892">
        <w:rPr>
          <w:i/>
          <w:szCs w:val="20"/>
        </w:rPr>
        <w:tab/>
        <w:t>Given in problem</w:t>
      </w:r>
    </w:p>
    <w:p w14:paraId="0797B4FF" w14:textId="77777777" w:rsidR="00FC155A" w:rsidRPr="00025892" w:rsidRDefault="00FC155A" w:rsidP="00646930">
      <w:pPr>
        <w:tabs>
          <w:tab w:val="right" w:pos="5040"/>
          <w:tab w:val="left" w:pos="5400"/>
        </w:tabs>
        <w:ind w:left="720"/>
        <w:rPr>
          <w:i/>
          <w:szCs w:val="20"/>
        </w:rPr>
      </w:pPr>
      <w:r w:rsidRPr="00025892">
        <w:rPr>
          <w:i/>
          <w:szCs w:val="20"/>
        </w:rPr>
        <w:t>Allowed loss:</w:t>
      </w:r>
      <w:r w:rsidRPr="00025892">
        <w:rPr>
          <w:i/>
          <w:szCs w:val="20"/>
        </w:rPr>
        <w:tab/>
      </w:r>
      <w:r w:rsidRPr="00025892">
        <w:rPr>
          <w:i/>
          <w:szCs w:val="20"/>
          <w:u w:val="single"/>
        </w:rPr>
        <w:t>(34,000)</w:t>
      </w:r>
      <w:r w:rsidR="00646930" w:rsidRPr="00025892">
        <w:rPr>
          <w:i/>
          <w:szCs w:val="20"/>
        </w:rPr>
        <w:tab/>
        <w:t>See below</w:t>
      </w:r>
    </w:p>
    <w:p w14:paraId="62074472" w14:textId="77777777" w:rsidR="00FC155A" w:rsidRPr="00025892" w:rsidRDefault="00646930" w:rsidP="00646930">
      <w:pPr>
        <w:tabs>
          <w:tab w:val="left" w:pos="1170"/>
          <w:tab w:val="right" w:pos="5040"/>
          <w:tab w:val="left" w:pos="5400"/>
        </w:tabs>
        <w:ind w:left="720"/>
        <w:rPr>
          <w:i/>
          <w:szCs w:val="20"/>
        </w:rPr>
      </w:pPr>
      <w:r w:rsidRPr="00025892">
        <w:rPr>
          <w:i/>
          <w:szCs w:val="20"/>
        </w:rPr>
        <w:tab/>
      </w:r>
      <w:r w:rsidR="00623E5D">
        <w:rPr>
          <w:i/>
          <w:szCs w:val="20"/>
        </w:rPr>
        <w:t>E</w:t>
      </w:r>
      <w:r w:rsidRPr="00025892">
        <w:rPr>
          <w:i/>
          <w:szCs w:val="20"/>
        </w:rPr>
        <w:t>nd of yea</w:t>
      </w:r>
      <w:r w:rsidR="00623E5D">
        <w:rPr>
          <w:i/>
          <w:szCs w:val="20"/>
        </w:rPr>
        <w:t>r 2 at-</w:t>
      </w:r>
      <w:r w:rsidRPr="00025892">
        <w:rPr>
          <w:i/>
          <w:szCs w:val="20"/>
        </w:rPr>
        <w:t>r</w:t>
      </w:r>
      <w:r w:rsidR="00623E5D">
        <w:rPr>
          <w:i/>
          <w:szCs w:val="20"/>
        </w:rPr>
        <w:t>isk</w:t>
      </w:r>
      <w:r w:rsidR="00FC155A" w:rsidRPr="00025892">
        <w:rPr>
          <w:i/>
          <w:szCs w:val="20"/>
        </w:rPr>
        <w:t xml:space="preserve"> </w:t>
      </w:r>
      <w:r w:rsidR="00064BD6">
        <w:rPr>
          <w:i/>
          <w:szCs w:val="20"/>
        </w:rPr>
        <w:t>amount</w:t>
      </w:r>
      <w:r w:rsidR="00FC155A" w:rsidRPr="00025892">
        <w:rPr>
          <w:i/>
          <w:szCs w:val="20"/>
        </w:rPr>
        <w:tab/>
        <w:t xml:space="preserve"> </w:t>
      </w:r>
      <w:r w:rsidRPr="00025892">
        <w:rPr>
          <w:i/>
          <w:szCs w:val="20"/>
        </w:rPr>
        <w:t xml:space="preserve">$ </w:t>
      </w:r>
      <w:r w:rsidR="00FC155A" w:rsidRPr="00025892">
        <w:rPr>
          <w:i/>
          <w:szCs w:val="20"/>
        </w:rPr>
        <w:t xml:space="preserve">5,000   </w:t>
      </w:r>
    </w:p>
    <w:p w14:paraId="4BD9B0E4" w14:textId="77777777" w:rsidR="00FC155A" w:rsidRPr="00025892" w:rsidRDefault="00FC155A" w:rsidP="00FC155A">
      <w:pPr>
        <w:rPr>
          <w:b/>
          <w:i/>
          <w:szCs w:val="20"/>
        </w:rPr>
      </w:pPr>
      <w:r w:rsidRPr="00025892">
        <w:rPr>
          <w:i/>
          <w:szCs w:val="20"/>
        </w:rPr>
        <w:t xml:space="preserve"> </w:t>
      </w:r>
    </w:p>
    <w:p w14:paraId="7963EEBF" w14:textId="77777777" w:rsidR="00646930" w:rsidRPr="00025892" w:rsidRDefault="00646930" w:rsidP="000D77F3">
      <w:pPr>
        <w:keepNext/>
        <w:rPr>
          <w:b/>
          <w:i/>
          <w:szCs w:val="20"/>
        </w:rPr>
      </w:pPr>
      <w:r w:rsidRPr="00025892">
        <w:rPr>
          <w:b/>
          <w:i/>
          <w:szCs w:val="20"/>
        </w:rPr>
        <w:t>At-risk allowed loss calculation:</w:t>
      </w:r>
    </w:p>
    <w:p w14:paraId="09CB0003" w14:textId="77777777" w:rsidR="00FC155A" w:rsidRPr="00025892" w:rsidRDefault="00FC155A" w:rsidP="000D77F3">
      <w:pPr>
        <w:keepNext/>
        <w:spacing w:line="360" w:lineRule="auto"/>
        <w:rPr>
          <w:i/>
          <w:szCs w:val="20"/>
          <w:u w:val="single"/>
        </w:rPr>
      </w:pPr>
      <w:r w:rsidRPr="00025892">
        <w:rPr>
          <w:i/>
          <w:szCs w:val="20"/>
          <w:u w:val="single"/>
        </w:rPr>
        <w:t>Year</w:t>
      </w:r>
      <w:r w:rsidRPr="00025892">
        <w:rPr>
          <w:i/>
          <w:szCs w:val="20"/>
          <w:u w:val="single"/>
        </w:rPr>
        <w:tab/>
      </w:r>
      <w:r w:rsidRPr="00025892">
        <w:rPr>
          <w:i/>
          <w:szCs w:val="20"/>
          <w:u w:val="single"/>
        </w:rPr>
        <w:tab/>
        <w:t>Total Loss</w:t>
      </w:r>
      <w:r w:rsidRPr="00025892">
        <w:rPr>
          <w:i/>
          <w:szCs w:val="20"/>
          <w:u w:val="single"/>
        </w:rPr>
        <w:tab/>
      </w:r>
      <w:r w:rsidR="00025892">
        <w:rPr>
          <w:i/>
          <w:szCs w:val="20"/>
          <w:u w:val="single"/>
        </w:rPr>
        <w:t xml:space="preserve">    </w:t>
      </w:r>
      <w:r w:rsidRPr="00025892">
        <w:rPr>
          <w:i/>
          <w:szCs w:val="20"/>
          <w:u w:val="single"/>
        </w:rPr>
        <w:t xml:space="preserve">At-Risk Allowed </w:t>
      </w:r>
      <w:r w:rsidRPr="00025892">
        <w:rPr>
          <w:i/>
          <w:szCs w:val="20"/>
          <w:u w:val="single"/>
        </w:rPr>
        <w:tab/>
      </w:r>
      <w:r w:rsidR="00646930" w:rsidRPr="00025892">
        <w:rPr>
          <w:i/>
          <w:szCs w:val="20"/>
          <w:u w:val="single"/>
        </w:rPr>
        <w:t xml:space="preserve">    </w:t>
      </w:r>
      <w:r w:rsidRPr="00025892">
        <w:rPr>
          <w:i/>
          <w:szCs w:val="20"/>
          <w:u w:val="single"/>
        </w:rPr>
        <w:t>At-Risk Disallowed</w:t>
      </w:r>
    </w:p>
    <w:p w14:paraId="4BCC38D9" w14:textId="77777777" w:rsidR="00FC155A" w:rsidRPr="00025892" w:rsidRDefault="00077855" w:rsidP="000D77F3">
      <w:pPr>
        <w:keepNext/>
        <w:spacing w:line="360" w:lineRule="auto"/>
        <w:rPr>
          <w:i/>
          <w:szCs w:val="20"/>
          <w:u w:val="dotted"/>
        </w:rPr>
      </w:pPr>
      <w:r>
        <w:rPr>
          <w:i/>
          <w:noProof/>
          <w:szCs w:val="20"/>
          <w:u w:val="dotted"/>
        </w:rPr>
        <mc:AlternateContent>
          <mc:Choice Requires="wps">
            <w:drawing>
              <wp:anchor distT="0" distB="0" distL="114300" distR="114300" simplePos="0" relativeHeight="251658240" behindDoc="0" locked="0" layoutInCell="1" allowOverlap="1" wp14:anchorId="6C323E4A" wp14:editId="5E8C863B">
                <wp:simplePos x="0" y="0"/>
                <wp:positionH relativeFrom="column">
                  <wp:posOffset>1371600</wp:posOffset>
                </wp:positionH>
                <wp:positionV relativeFrom="paragraph">
                  <wp:posOffset>83185</wp:posOffset>
                </wp:positionV>
                <wp:extent cx="914400" cy="1197610"/>
                <wp:effectExtent l="38100" t="0" r="19050" b="59690"/>
                <wp:wrapNone/>
                <wp:docPr id="1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1197610"/>
                        </a:xfrm>
                        <a:prstGeom prst="line">
                          <a:avLst/>
                        </a:prstGeom>
                        <a:noFill/>
                        <a:ln w="9525">
                          <a:solidFill>
                            <a:srgbClr val="FF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AFD8A" id="Line 2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6.55pt" to="180pt,10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" strokecolor="red">
                <v:stroke endarrow="block"/>
              </v:line>
            </w:pict>
          </mc:Fallback>
        </mc:AlternateContent>
      </w:r>
      <w:r>
        <w:rPr>
          <w:i/>
          <w:noProof/>
          <w:szCs w:val="20"/>
          <w:u w:val="dotted"/>
        </w:rPr>
        <mc:AlternateContent>
          <mc:Choice Requires="wps">
            <w:drawing>
              <wp:anchor distT="0" distB="0" distL="114300" distR="114300" simplePos="0" relativeHeight="251655168" behindDoc="0" locked="0" layoutInCell="1" allowOverlap="1" wp14:anchorId="50066E42" wp14:editId="21C0B83D">
                <wp:simplePos x="0" y="0"/>
                <wp:positionH relativeFrom="column">
                  <wp:posOffset>1371600</wp:posOffset>
                </wp:positionH>
                <wp:positionV relativeFrom="paragraph">
                  <wp:posOffset>83185</wp:posOffset>
                </wp:positionV>
                <wp:extent cx="2286000" cy="228600"/>
                <wp:effectExtent l="38100" t="0" r="19050" b="95250"/>
                <wp:wrapNone/>
                <wp:docPr id="1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0" cy="228600"/>
                        </a:xfrm>
                        <a:prstGeom prst="line">
                          <a:avLst/>
                        </a:prstGeom>
                        <a:noFill/>
                        <a:ln w="9525">
                          <a:solidFill>
                            <a:srgbClr val="FF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1964E" id="Line 19"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6.55pt" to="4in,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" strokecolor="red">
                <v:stroke endarrow="block"/>
              </v:line>
            </w:pict>
          </mc:Fallback>
        </mc:AlternateContent>
      </w:r>
      <w:r w:rsidR="00623E5D">
        <w:rPr>
          <w:i/>
          <w:szCs w:val="20"/>
          <w:u w:val="dotted"/>
        </w:rPr>
        <w:t xml:space="preserve">   </w:t>
      </w:r>
      <w:r w:rsidR="00646930" w:rsidRPr="00025892">
        <w:rPr>
          <w:i/>
          <w:szCs w:val="20"/>
          <w:u w:val="dotted"/>
        </w:rPr>
        <w:t>1</w:t>
      </w:r>
      <w:r w:rsidR="00FC155A" w:rsidRPr="00025892">
        <w:rPr>
          <w:i/>
          <w:szCs w:val="20"/>
          <w:u w:val="dotted"/>
        </w:rPr>
        <w:tab/>
      </w:r>
      <w:r w:rsidR="00FC155A" w:rsidRPr="00025892">
        <w:rPr>
          <w:i/>
          <w:szCs w:val="20"/>
          <w:u w:val="dotted"/>
        </w:rPr>
        <w:tab/>
      </w:r>
      <w:r w:rsidR="00646930" w:rsidRPr="00025892">
        <w:rPr>
          <w:i/>
          <w:szCs w:val="20"/>
          <w:u w:val="dotted"/>
        </w:rPr>
        <w:t xml:space="preserve">$ </w:t>
      </w:r>
      <w:r w:rsidR="00FC155A" w:rsidRPr="00025892">
        <w:rPr>
          <w:i/>
          <w:szCs w:val="20"/>
          <w:u w:val="dotted"/>
        </w:rPr>
        <w:t>54,000</w:t>
      </w:r>
      <w:r w:rsidR="00FC155A" w:rsidRPr="00025892">
        <w:rPr>
          <w:i/>
          <w:szCs w:val="20"/>
          <w:u w:val="dotted"/>
        </w:rPr>
        <w:tab/>
      </w:r>
      <w:r w:rsidR="00FC155A" w:rsidRPr="00025892">
        <w:rPr>
          <w:i/>
          <w:szCs w:val="20"/>
          <w:u w:val="dotted"/>
        </w:rPr>
        <w:tab/>
      </w:r>
      <w:r w:rsidR="00646930" w:rsidRPr="00025892">
        <w:rPr>
          <w:i/>
          <w:szCs w:val="20"/>
          <w:u w:val="dotted"/>
        </w:rPr>
        <w:t xml:space="preserve">$ </w:t>
      </w:r>
      <w:r w:rsidR="00FC155A" w:rsidRPr="00025892">
        <w:rPr>
          <w:i/>
          <w:szCs w:val="20"/>
          <w:u w:val="dotted"/>
        </w:rPr>
        <w:t>20,000</w:t>
      </w:r>
      <w:r w:rsidR="00646930" w:rsidRPr="00025892">
        <w:rPr>
          <w:i/>
          <w:szCs w:val="20"/>
          <w:u w:val="dotted"/>
        </w:rPr>
        <w:tab/>
      </w:r>
      <w:r w:rsidR="00646930" w:rsidRPr="00025892">
        <w:rPr>
          <w:i/>
          <w:szCs w:val="20"/>
          <w:u w:val="dotted"/>
        </w:rPr>
        <w:tab/>
        <w:t xml:space="preserve">$ </w:t>
      </w:r>
      <w:r w:rsidR="00FC155A" w:rsidRPr="00025892">
        <w:rPr>
          <w:i/>
          <w:szCs w:val="20"/>
          <w:u w:val="dotted"/>
        </w:rPr>
        <w:t>34,000</w:t>
      </w:r>
      <w:r w:rsidR="00646930" w:rsidRPr="00025892">
        <w:rPr>
          <w:i/>
          <w:szCs w:val="20"/>
          <w:u w:val="dotted"/>
        </w:rPr>
        <w:tab/>
      </w:r>
    </w:p>
    <w:p w14:paraId="74ADBACA" w14:textId="77777777" w:rsidR="00FC155A" w:rsidRPr="00025892" w:rsidRDefault="00077855" w:rsidP="000D77F3">
      <w:pPr>
        <w:keepNext/>
        <w:spacing w:line="360" w:lineRule="auto"/>
        <w:rPr>
          <w:i/>
          <w:szCs w:val="20"/>
        </w:rPr>
      </w:pPr>
      <w:r>
        <w:rPr>
          <w:i/>
          <w:noProof/>
          <w:szCs w:val="20"/>
        </w:rPr>
        <mc:AlternateContent>
          <mc:Choice Requires="wps">
            <w:drawing>
              <wp:anchor distT="0" distB="0" distL="114300" distR="114300" simplePos="0" relativeHeight="251656192" behindDoc="0" locked="0" layoutInCell="1" allowOverlap="1" wp14:anchorId="7968C2F7" wp14:editId="430C7085">
                <wp:simplePos x="0" y="0"/>
                <wp:positionH relativeFrom="column">
                  <wp:posOffset>1371600</wp:posOffset>
                </wp:positionH>
                <wp:positionV relativeFrom="paragraph">
                  <wp:posOffset>170180</wp:posOffset>
                </wp:positionV>
                <wp:extent cx="1038225" cy="1123950"/>
                <wp:effectExtent l="38100" t="0" r="28575" b="57150"/>
                <wp:wrapNone/>
                <wp:docPr id="1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8225" cy="1123950"/>
                        </a:xfrm>
                        <a:prstGeom prst="line">
                          <a:avLst/>
                        </a:prstGeom>
                        <a:noFill/>
                        <a:ln w="9525">
                          <a:solidFill>
                            <a:srgbClr val="FF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3222A" id="Line 20"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3.4pt" to="189.75pt,1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" strokecolor="red">
                <v:stroke endarrow="block"/>
              </v:line>
            </w:pict>
          </mc:Fallback>
        </mc:AlternateContent>
      </w:r>
      <w:r w:rsidR="00623E5D">
        <w:rPr>
          <w:i/>
          <w:szCs w:val="20"/>
        </w:rPr>
        <w:t xml:space="preserve">   </w:t>
      </w:r>
      <w:r w:rsidR="00646930" w:rsidRPr="00025892">
        <w:rPr>
          <w:i/>
          <w:szCs w:val="20"/>
        </w:rPr>
        <w:t>2</w:t>
      </w:r>
      <w:r w:rsidR="00FC155A" w:rsidRPr="00025892">
        <w:rPr>
          <w:i/>
          <w:szCs w:val="20"/>
        </w:rPr>
        <w:tab/>
      </w:r>
      <w:r w:rsidR="00FC155A" w:rsidRPr="00025892">
        <w:rPr>
          <w:i/>
          <w:szCs w:val="20"/>
        </w:rPr>
        <w:tab/>
        <w:t>34,000</w:t>
      </w:r>
      <w:r w:rsidR="00FC155A" w:rsidRPr="00025892">
        <w:rPr>
          <w:i/>
          <w:szCs w:val="20"/>
        </w:rPr>
        <w:tab/>
      </w:r>
      <w:r w:rsidR="00FC155A" w:rsidRPr="00025892">
        <w:rPr>
          <w:i/>
          <w:szCs w:val="20"/>
        </w:rPr>
        <w:tab/>
      </w:r>
      <w:r w:rsidR="00FC155A" w:rsidRPr="00025892">
        <w:rPr>
          <w:i/>
          <w:szCs w:val="20"/>
        </w:rPr>
        <w:tab/>
      </w:r>
      <w:r w:rsidR="00E47CD3" w:rsidRPr="00025892">
        <w:rPr>
          <w:i/>
          <w:szCs w:val="20"/>
        </w:rPr>
        <w:t xml:space="preserve">  </w:t>
      </w:r>
      <w:r w:rsidR="00FC155A" w:rsidRPr="00025892">
        <w:rPr>
          <w:i/>
          <w:szCs w:val="20"/>
        </w:rPr>
        <w:t>34,000</w:t>
      </w:r>
      <w:r w:rsidR="00FC155A" w:rsidRPr="00025892">
        <w:rPr>
          <w:i/>
          <w:szCs w:val="20"/>
        </w:rPr>
        <w:tab/>
      </w:r>
      <w:r w:rsidR="00FC155A" w:rsidRPr="00025892">
        <w:rPr>
          <w:i/>
          <w:szCs w:val="20"/>
        </w:rPr>
        <w:tab/>
        <w:t xml:space="preserve">    </w:t>
      </w:r>
      <w:r w:rsidR="00FC155A" w:rsidRPr="00025892">
        <w:rPr>
          <w:b/>
          <w:i/>
          <w:szCs w:val="20"/>
        </w:rPr>
        <w:t>-0-</w:t>
      </w:r>
      <w:r w:rsidR="00FC155A" w:rsidRPr="00025892">
        <w:rPr>
          <w:i/>
          <w:szCs w:val="20"/>
        </w:rPr>
        <w:tab/>
        <w:t xml:space="preserve"> </w:t>
      </w:r>
    </w:p>
    <w:p w14:paraId="47E3CF0B" w14:textId="77777777" w:rsidR="00FC155A" w:rsidRPr="00025892" w:rsidRDefault="00FC155A" w:rsidP="000D77F3">
      <w:pPr>
        <w:keepNext/>
        <w:spacing w:line="360" w:lineRule="auto"/>
        <w:rPr>
          <w:i/>
          <w:szCs w:val="20"/>
        </w:rPr>
      </w:pPr>
    </w:p>
    <w:p w14:paraId="098AB5FC" w14:textId="77777777" w:rsidR="00646930" w:rsidRPr="00025892" w:rsidRDefault="00646930" w:rsidP="000D77F3">
      <w:pPr>
        <w:keepNext/>
        <w:rPr>
          <w:b/>
          <w:i/>
          <w:szCs w:val="20"/>
        </w:rPr>
      </w:pPr>
      <w:r w:rsidRPr="00025892">
        <w:rPr>
          <w:b/>
          <w:i/>
          <w:szCs w:val="20"/>
        </w:rPr>
        <w:t>Passive activity loss allowed calculation:</w:t>
      </w:r>
    </w:p>
    <w:p w14:paraId="297447FC" w14:textId="77777777" w:rsidR="00FC155A" w:rsidRPr="00025892" w:rsidRDefault="00FC155A" w:rsidP="000D77F3">
      <w:pPr>
        <w:keepNext/>
        <w:spacing w:line="360" w:lineRule="auto"/>
        <w:rPr>
          <w:i/>
          <w:szCs w:val="20"/>
          <w:u w:val="single"/>
        </w:rPr>
      </w:pPr>
      <w:r w:rsidRPr="00025892">
        <w:rPr>
          <w:i/>
          <w:szCs w:val="20"/>
          <w:u w:val="single"/>
        </w:rPr>
        <w:t>Year</w:t>
      </w:r>
      <w:r w:rsidRPr="00025892">
        <w:rPr>
          <w:i/>
          <w:szCs w:val="20"/>
          <w:u w:val="single"/>
        </w:rPr>
        <w:tab/>
      </w:r>
      <w:r w:rsidRPr="00025892">
        <w:rPr>
          <w:i/>
          <w:szCs w:val="20"/>
          <w:u w:val="single"/>
        </w:rPr>
        <w:tab/>
        <w:t>At-Risk Allowed       PAL Allowed</w:t>
      </w:r>
      <w:r w:rsidRPr="00025892">
        <w:rPr>
          <w:i/>
          <w:szCs w:val="20"/>
          <w:u w:val="single"/>
        </w:rPr>
        <w:tab/>
      </w:r>
      <w:r w:rsidR="00E47CD3" w:rsidRPr="00025892">
        <w:rPr>
          <w:i/>
          <w:szCs w:val="20"/>
          <w:u w:val="single"/>
        </w:rPr>
        <w:t xml:space="preserve">         </w:t>
      </w:r>
      <w:r w:rsidRPr="00025892">
        <w:rPr>
          <w:i/>
          <w:szCs w:val="20"/>
          <w:u w:val="single"/>
        </w:rPr>
        <w:t>PAL Disallowed</w:t>
      </w:r>
    </w:p>
    <w:p w14:paraId="6CFA544D" w14:textId="77777777" w:rsidR="00623E5D" w:rsidRDefault="00623E5D" w:rsidP="000D77F3">
      <w:pPr>
        <w:keepNext/>
        <w:spacing w:line="360" w:lineRule="auto"/>
        <w:rPr>
          <w:i/>
          <w:szCs w:val="20"/>
          <w:u w:val="dotted"/>
        </w:rPr>
      </w:pPr>
      <w:r>
        <w:rPr>
          <w:i/>
          <w:szCs w:val="20"/>
          <w:u w:val="dotted"/>
        </w:rPr>
        <w:t xml:space="preserve">   </w:t>
      </w:r>
      <w:r w:rsidR="00646930" w:rsidRPr="00025892">
        <w:rPr>
          <w:i/>
          <w:szCs w:val="20"/>
          <w:u w:val="dotted"/>
        </w:rPr>
        <w:t>1</w:t>
      </w:r>
      <w:r w:rsidR="00FC155A" w:rsidRPr="00025892">
        <w:rPr>
          <w:i/>
          <w:szCs w:val="20"/>
          <w:u w:val="dotted"/>
        </w:rPr>
        <w:tab/>
      </w:r>
      <w:r w:rsidR="00FC155A" w:rsidRPr="00025892">
        <w:rPr>
          <w:i/>
          <w:szCs w:val="20"/>
          <w:u w:val="dotted"/>
        </w:rPr>
        <w:tab/>
      </w:r>
      <w:r w:rsidR="00E47CD3" w:rsidRPr="00025892">
        <w:rPr>
          <w:i/>
          <w:szCs w:val="20"/>
          <w:u w:val="dotted"/>
        </w:rPr>
        <w:t>$</w:t>
      </w:r>
      <w:r w:rsidR="00FC155A" w:rsidRPr="00025892">
        <w:rPr>
          <w:i/>
          <w:szCs w:val="20"/>
          <w:u w:val="dotted"/>
        </w:rPr>
        <w:t>20,000</w:t>
      </w:r>
      <w:r w:rsidR="00FC155A" w:rsidRPr="00025892">
        <w:rPr>
          <w:i/>
          <w:szCs w:val="20"/>
          <w:u w:val="dotted"/>
        </w:rPr>
        <w:tab/>
      </w:r>
      <w:r w:rsidR="00FC155A" w:rsidRPr="00025892">
        <w:rPr>
          <w:i/>
          <w:szCs w:val="20"/>
          <w:u w:val="dotted"/>
        </w:rPr>
        <w:tab/>
      </w:r>
      <w:r w:rsidR="00E47CD3" w:rsidRPr="00025892">
        <w:rPr>
          <w:i/>
          <w:szCs w:val="20"/>
          <w:u w:val="dotted"/>
        </w:rPr>
        <w:t>$</w:t>
      </w:r>
      <w:r w:rsidR="00FC155A" w:rsidRPr="00025892">
        <w:rPr>
          <w:i/>
          <w:szCs w:val="20"/>
          <w:u w:val="dotted"/>
        </w:rPr>
        <w:t>10,000</w:t>
      </w:r>
      <w:r w:rsidR="00FC155A" w:rsidRPr="00025892">
        <w:rPr>
          <w:i/>
          <w:szCs w:val="20"/>
          <w:u w:val="dotted"/>
        </w:rPr>
        <w:tab/>
      </w:r>
      <w:r w:rsidR="00FC155A" w:rsidRPr="00025892">
        <w:rPr>
          <w:i/>
          <w:szCs w:val="20"/>
          <w:u w:val="dotted"/>
        </w:rPr>
        <w:tab/>
      </w:r>
      <w:r w:rsidR="00E47CD3" w:rsidRPr="00025892">
        <w:rPr>
          <w:i/>
          <w:szCs w:val="20"/>
          <w:u w:val="dotted"/>
        </w:rPr>
        <w:t>$</w:t>
      </w:r>
      <w:r w:rsidR="00FC155A" w:rsidRPr="00025892">
        <w:rPr>
          <w:i/>
          <w:szCs w:val="20"/>
          <w:u w:val="dotted"/>
        </w:rPr>
        <w:t>10,000</w:t>
      </w:r>
      <w:r w:rsidR="00E47CD3" w:rsidRPr="00025892">
        <w:rPr>
          <w:i/>
          <w:szCs w:val="20"/>
          <w:u w:val="dotted"/>
        </w:rPr>
        <w:tab/>
      </w:r>
    </w:p>
    <w:p w14:paraId="5A81124B" w14:textId="77777777" w:rsidR="00FC155A" w:rsidRPr="00623E5D" w:rsidRDefault="00623E5D" w:rsidP="000D77F3">
      <w:pPr>
        <w:keepNext/>
        <w:rPr>
          <w:i/>
          <w:szCs w:val="20"/>
          <w:u w:val="dotted"/>
        </w:rPr>
      </w:pPr>
      <w:r>
        <w:rPr>
          <w:i/>
          <w:szCs w:val="20"/>
        </w:rPr>
        <w:t xml:space="preserve">  </w:t>
      </w:r>
      <w:r w:rsidR="00646930" w:rsidRPr="00025892">
        <w:rPr>
          <w:i/>
          <w:szCs w:val="20"/>
        </w:rPr>
        <w:t>2</w:t>
      </w:r>
      <w:r w:rsidR="00FC155A" w:rsidRPr="00025892">
        <w:rPr>
          <w:i/>
          <w:szCs w:val="20"/>
        </w:rPr>
        <w:tab/>
      </w:r>
      <w:r w:rsidR="00FC155A" w:rsidRPr="00025892">
        <w:rPr>
          <w:i/>
          <w:szCs w:val="20"/>
        </w:rPr>
        <w:tab/>
        <w:t>34,000</w:t>
      </w:r>
      <w:r w:rsidR="00FC155A" w:rsidRPr="00025892">
        <w:rPr>
          <w:i/>
          <w:szCs w:val="20"/>
        </w:rPr>
        <w:tab/>
      </w:r>
      <w:r w:rsidR="00FC155A" w:rsidRPr="00025892">
        <w:rPr>
          <w:i/>
          <w:szCs w:val="20"/>
        </w:rPr>
        <w:tab/>
      </w:r>
      <w:r w:rsidR="00FC155A" w:rsidRPr="00025892">
        <w:rPr>
          <w:i/>
          <w:szCs w:val="20"/>
        </w:rPr>
        <w:tab/>
      </w:r>
      <w:r w:rsidR="00116DE3">
        <w:rPr>
          <w:i/>
          <w:szCs w:val="20"/>
        </w:rPr>
        <w:t>17,000</w:t>
      </w:r>
      <w:r w:rsidR="00116DE3">
        <w:rPr>
          <w:i/>
          <w:szCs w:val="20"/>
        </w:rPr>
        <w:tab/>
      </w:r>
      <w:r w:rsidR="00116DE3">
        <w:rPr>
          <w:i/>
          <w:szCs w:val="20"/>
        </w:rPr>
        <w:tab/>
      </w:r>
      <w:r w:rsidR="00116DE3">
        <w:rPr>
          <w:i/>
          <w:szCs w:val="20"/>
        </w:rPr>
        <w:tab/>
        <w:t>17,000</w:t>
      </w:r>
    </w:p>
    <w:p w14:paraId="24A7BF0F" w14:textId="77777777" w:rsidR="00E47CD3" w:rsidRPr="00025892" w:rsidRDefault="00E47CD3" w:rsidP="00E47CD3">
      <w:pPr>
        <w:ind w:left="720" w:firstLine="720"/>
        <w:rPr>
          <w:b/>
          <w:i/>
          <w:szCs w:val="20"/>
        </w:rPr>
      </w:pPr>
    </w:p>
    <w:p w14:paraId="525966EF" w14:textId="77777777" w:rsidR="00025892" w:rsidRDefault="00025892" w:rsidP="00E47CD3">
      <w:pPr>
        <w:tabs>
          <w:tab w:val="right" w:pos="5760"/>
          <w:tab w:val="left" w:pos="7560"/>
        </w:tabs>
        <w:spacing w:before="120"/>
        <w:rPr>
          <w:i/>
          <w:szCs w:val="20"/>
        </w:rPr>
      </w:pPr>
      <w:r>
        <w:rPr>
          <w:i/>
          <w:szCs w:val="20"/>
        </w:rPr>
        <w:t xml:space="preserve">In </w:t>
      </w:r>
      <w:r w:rsidR="00623E5D">
        <w:rPr>
          <w:i/>
          <w:szCs w:val="20"/>
        </w:rPr>
        <w:t>year 1</w:t>
      </w:r>
      <w:r>
        <w:rPr>
          <w:i/>
          <w:szCs w:val="20"/>
        </w:rPr>
        <w:t xml:space="preserve">, Molly has at-risk </w:t>
      </w:r>
      <w:r w:rsidR="00007FF9">
        <w:rPr>
          <w:i/>
          <w:szCs w:val="20"/>
        </w:rPr>
        <w:t xml:space="preserve">amount </w:t>
      </w:r>
      <w:r>
        <w:rPr>
          <w:i/>
          <w:szCs w:val="20"/>
        </w:rPr>
        <w:t xml:space="preserve">of $20,000 before losses from Beau Geste and therefore is only allowed $20,000 of losses under the at-risk rules. This loss then must pass the passive activity loss rules. Since Molly has $10,000 of passive activity income from other sources in </w:t>
      </w:r>
      <w:r w:rsidR="00623E5D">
        <w:rPr>
          <w:i/>
          <w:szCs w:val="20"/>
        </w:rPr>
        <w:t>year 1</w:t>
      </w:r>
      <w:r>
        <w:rPr>
          <w:i/>
          <w:szCs w:val="20"/>
        </w:rPr>
        <w:t>, she may deduct $10,000 of the $20,000 loss allowed under the at-risk rules under the passive activity loss rules.</w:t>
      </w:r>
      <w:r w:rsidR="00623E5D">
        <w:rPr>
          <w:i/>
          <w:szCs w:val="20"/>
        </w:rPr>
        <w:t xml:space="preserve"> This leaves $10,000 suspended under the passive activity loss rules for year 1.</w:t>
      </w:r>
    </w:p>
    <w:p w14:paraId="4ACEB96A" w14:textId="56551120" w:rsidR="00025892" w:rsidRDefault="00025892" w:rsidP="00E47CD3">
      <w:pPr>
        <w:tabs>
          <w:tab w:val="right" w:pos="5760"/>
          <w:tab w:val="left" w:pos="7560"/>
        </w:tabs>
        <w:spacing w:before="120"/>
        <w:rPr>
          <w:i/>
          <w:szCs w:val="20"/>
        </w:rPr>
      </w:pPr>
      <w:r>
        <w:rPr>
          <w:i/>
          <w:szCs w:val="20"/>
        </w:rPr>
        <w:t xml:space="preserve">In </w:t>
      </w:r>
      <w:r w:rsidR="00623E5D">
        <w:rPr>
          <w:i/>
          <w:szCs w:val="20"/>
        </w:rPr>
        <w:t>year 2</w:t>
      </w:r>
      <w:r>
        <w:rPr>
          <w:i/>
          <w:szCs w:val="20"/>
        </w:rPr>
        <w:t xml:space="preserve">, Molly’s at-risk </w:t>
      </w:r>
      <w:r w:rsidR="00007FF9">
        <w:rPr>
          <w:i/>
          <w:szCs w:val="20"/>
        </w:rPr>
        <w:t xml:space="preserve">amount </w:t>
      </w:r>
      <w:r>
        <w:rPr>
          <w:i/>
          <w:szCs w:val="20"/>
        </w:rPr>
        <w:t xml:space="preserve">increases by the amount of her contribution ($30,000) and by the income generated by Beau Geste to $39,000 before considering any losses from Beau Geste. This additional at-risk amount will allow Molly to use up to $39,000 of losses suspended by the at-risk rules in previous years. As a result, the $34,000 of losses suspended in </w:t>
      </w:r>
      <w:r w:rsidR="00623E5D">
        <w:rPr>
          <w:i/>
          <w:szCs w:val="20"/>
        </w:rPr>
        <w:t>year 1</w:t>
      </w:r>
      <w:r>
        <w:rPr>
          <w:i/>
          <w:szCs w:val="20"/>
        </w:rPr>
        <w:t xml:space="preserve"> now flow to the passive activity loss rules. In addition to the $34,000</w:t>
      </w:r>
      <w:r w:rsidR="00623E5D">
        <w:rPr>
          <w:i/>
          <w:szCs w:val="20"/>
        </w:rPr>
        <w:t xml:space="preserve"> loss freed from the at-risk rules, Molly must also consider whether she can use the $10,000 loss that was suspended under the passive activity loss rules in year 1. Since she has $17,000 ($9,000 from Beau Geste and $8,000 from other sources) of passive income she may deduct $17,000 of the total $44,000 losses </w:t>
      </w:r>
      <w:r w:rsidR="004B3053">
        <w:rPr>
          <w:i/>
          <w:szCs w:val="20"/>
        </w:rPr>
        <w:t>Cumulative losses</w:t>
      </w:r>
      <w:r w:rsidR="00623E5D">
        <w:rPr>
          <w:i/>
          <w:szCs w:val="20"/>
        </w:rPr>
        <w:t>. This leaves $27,000 of losses that remain suspended under the passive activity loss rules at the end of year 2.</w:t>
      </w:r>
    </w:p>
    <w:p w14:paraId="77ABE222" w14:textId="77777777" w:rsidR="00623E5D" w:rsidRPr="00025892" w:rsidRDefault="00623E5D" w:rsidP="00E47CD3">
      <w:pPr>
        <w:tabs>
          <w:tab w:val="right" w:pos="5760"/>
          <w:tab w:val="left" w:pos="7560"/>
        </w:tabs>
        <w:spacing w:before="120"/>
        <w:rPr>
          <w:i/>
          <w:szCs w:val="20"/>
        </w:rPr>
      </w:pPr>
      <w:r>
        <w:rPr>
          <w:i/>
          <w:szCs w:val="20"/>
        </w:rPr>
        <w:t>Molly’s AGI for year 2 is determined as follows:</w:t>
      </w:r>
    </w:p>
    <w:p w14:paraId="180F2F43" w14:textId="77777777" w:rsidR="00E47CD3" w:rsidRPr="00025892" w:rsidRDefault="00623E5D" w:rsidP="00E47CD3">
      <w:pPr>
        <w:tabs>
          <w:tab w:val="right" w:pos="5760"/>
          <w:tab w:val="left" w:pos="7560"/>
        </w:tabs>
        <w:spacing w:before="120"/>
        <w:rPr>
          <w:b/>
          <w:i/>
          <w:szCs w:val="20"/>
          <w:u w:val="double"/>
        </w:rPr>
      </w:pPr>
      <w:r>
        <w:rPr>
          <w:b/>
          <w:i/>
          <w:szCs w:val="20"/>
        </w:rPr>
        <w:t xml:space="preserve">Year 2 </w:t>
      </w:r>
      <w:r w:rsidR="00E47CD3" w:rsidRPr="00025892">
        <w:rPr>
          <w:b/>
          <w:i/>
          <w:szCs w:val="20"/>
        </w:rPr>
        <w:t xml:space="preserve"> AGI:</w:t>
      </w:r>
      <w:r w:rsidR="00E47CD3" w:rsidRPr="00025892">
        <w:rPr>
          <w:i/>
          <w:szCs w:val="20"/>
        </w:rPr>
        <w:t xml:space="preserve"> </w:t>
      </w:r>
      <w:r w:rsidR="00E47CD3" w:rsidRPr="00025892">
        <w:rPr>
          <w:i/>
          <w:szCs w:val="20"/>
        </w:rPr>
        <w:br/>
        <w:t xml:space="preserve"> AGI before Beau Geste:</w:t>
      </w:r>
      <w:r w:rsidR="00E47CD3" w:rsidRPr="00025892">
        <w:rPr>
          <w:i/>
          <w:szCs w:val="20"/>
        </w:rPr>
        <w:tab/>
        <w:t xml:space="preserve"> $63,000</w:t>
      </w:r>
      <w:r w:rsidR="00E47CD3" w:rsidRPr="00025892">
        <w:rPr>
          <w:i/>
          <w:szCs w:val="20"/>
        </w:rPr>
        <w:br/>
        <w:t xml:space="preserve">  + </w:t>
      </w:r>
      <w:r>
        <w:rPr>
          <w:i/>
          <w:szCs w:val="20"/>
        </w:rPr>
        <w:t>Year 2</w:t>
      </w:r>
      <w:r w:rsidR="00E47CD3" w:rsidRPr="00025892">
        <w:rPr>
          <w:i/>
          <w:szCs w:val="20"/>
        </w:rPr>
        <w:t xml:space="preserve"> passive income from Beau Geste</w:t>
      </w:r>
      <w:r w:rsidR="00E47CD3" w:rsidRPr="00025892">
        <w:rPr>
          <w:i/>
          <w:szCs w:val="20"/>
        </w:rPr>
        <w:tab/>
        <w:t xml:space="preserve"> 9,000</w:t>
      </w:r>
      <w:r w:rsidR="00E47CD3" w:rsidRPr="00025892">
        <w:rPr>
          <w:i/>
          <w:szCs w:val="20"/>
        </w:rPr>
        <w:br/>
        <w:t xml:space="preserve">  - </w:t>
      </w:r>
      <w:r>
        <w:rPr>
          <w:i/>
          <w:szCs w:val="20"/>
        </w:rPr>
        <w:t xml:space="preserve"> Year </w:t>
      </w:r>
      <w:r w:rsidR="00E47CD3" w:rsidRPr="00025892">
        <w:rPr>
          <w:i/>
          <w:szCs w:val="20"/>
        </w:rPr>
        <w:t>2 allowed passive losses</w:t>
      </w:r>
      <w:r w:rsidR="00E47CD3" w:rsidRPr="00025892">
        <w:rPr>
          <w:i/>
          <w:szCs w:val="20"/>
        </w:rPr>
        <w:tab/>
      </w:r>
      <w:r w:rsidR="00E47CD3" w:rsidRPr="00025892">
        <w:rPr>
          <w:i/>
          <w:szCs w:val="20"/>
          <w:u w:val="single"/>
        </w:rPr>
        <w:t>17,000</w:t>
      </w:r>
      <w:r w:rsidR="00E47CD3" w:rsidRPr="00025892">
        <w:rPr>
          <w:i/>
          <w:szCs w:val="20"/>
          <w:u w:val="single"/>
        </w:rPr>
        <w:br/>
      </w:r>
      <w:r w:rsidR="00E47CD3" w:rsidRPr="00025892">
        <w:rPr>
          <w:b/>
          <w:i/>
          <w:szCs w:val="20"/>
        </w:rPr>
        <w:t xml:space="preserve">= </w:t>
      </w:r>
      <w:r>
        <w:rPr>
          <w:b/>
          <w:i/>
          <w:szCs w:val="20"/>
        </w:rPr>
        <w:t>Year 2</w:t>
      </w:r>
      <w:r w:rsidR="00E47CD3" w:rsidRPr="00025892">
        <w:rPr>
          <w:b/>
          <w:i/>
          <w:szCs w:val="20"/>
        </w:rPr>
        <w:t xml:space="preserve"> AGI</w:t>
      </w:r>
      <w:r w:rsidR="00E47CD3" w:rsidRPr="00025892">
        <w:rPr>
          <w:b/>
          <w:i/>
          <w:szCs w:val="20"/>
        </w:rPr>
        <w:tab/>
        <w:t xml:space="preserve"> </w:t>
      </w:r>
      <w:r w:rsidR="00E47CD3" w:rsidRPr="00025892">
        <w:rPr>
          <w:b/>
          <w:i/>
          <w:szCs w:val="20"/>
          <w:u w:val="double"/>
        </w:rPr>
        <w:t>$55,000</w:t>
      </w:r>
    </w:p>
    <w:p w14:paraId="1994C907" w14:textId="77777777" w:rsidR="00E47CD3" w:rsidRPr="00025892" w:rsidRDefault="00E47CD3" w:rsidP="00E47CD3">
      <w:pPr>
        <w:ind w:left="90"/>
        <w:rPr>
          <w:i/>
          <w:szCs w:val="20"/>
        </w:rPr>
      </w:pPr>
    </w:p>
    <w:p w14:paraId="7BF0C10B" w14:textId="77777777" w:rsidR="00E47CD3" w:rsidRPr="00623E5D" w:rsidRDefault="00E47CD3" w:rsidP="00623E5D">
      <w:pPr>
        <w:pStyle w:val="ListParagraph"/>
        <w:numPr>
          <w:ilvl w:val="0"/>
          <w:numId w:val="28"/>
        </w:numPr>
        <w:spacing w:before="120"/>
        <w:rPr>
          <w:i/>
          <w:szCs w:val="20"/>
        </w:rPr>
      </w:pPr>
      <w:r w:rsidRPr="00623E5D">
        <w:rPr>
          <w:i/>
          <w:szCs w:val="20"/>
        </w:rPr>
        <w:t>Based on the above calculations the following amounts:</w:t>
      </w:r>
    </w:p>
    <w:p w14:paraId="5E2AC957" w14:textId="77777777" w:rsidR="00E47CD3" w:rsidRPr="00025892" w:rsidRDefault="00E47CD3" w:rsidP="00A67C33">
      <w:pPr>
        <w:numPr>
          <w:ilvl w:val="0"/>
          <w:numId w:val="31"/>
        </w:numPr>
        <w:tabs>
          <w:tab w:val="left" w:pos="990"/>
          <w:tab w:val="left" w:pos="1620"/>
          <w:tab w:val="right" w:pos="8280"/>
        </w:tabs>
        <w:spacing w:before="120"/>
        <w:ind w:left="1080"/>
        <w:rPr>
          <w:i/>
          <w:szCs w:val="20"/>
        </w:rPr>
      </w:pPr>
      <w:r w:rsidRPr="00025892">
        <w:rPr>
          <w:i/>
          <w:szCs w:val="20"/>
        </w:rPr>
        <w:t xml:space="preserve">At-risk </w:t>
      </w:r>
      <w:r w:rsidR="00007FF9">
        <w:rPr>
          <w:i/>
          <w:szCs w:val="20"/>
        </w:rPr>
        <w:t xml:space="preserve">amount </w:t>
      </w:r>
      <w:r w:rsidRPr="00025892">
        <w:rPr>
          <w:i/>
          <w:szCs w:val="20"/>
        </w:rPr>
        <w:t xml:space="preserve">at the end of </w:t>
      </w:r>
      <w:r w:rsidR="00623E5D">
        <w:rPr>
          <w:i/>
          <w:szCs w:val="20"/>
        </w:rPr>
        <w:t>year 1</w:t>
      </w:r>
      <w:r w:rsidRPr="00025892">
        <w:rPr>
          <w:i/>
          <w:szCs w:val="20"/>
        </w:rPr>
        <w:t xml:space="preserve">: </w:t>
      </w:r>
      <w:r w:rsidRPr="00025892">
        <w:rPr>
          <w:i/>
          <w:szCs w:val="20"/>
        </w:rPr>
        <w:tab/>
        <w:t>$-0-</w:t>
      </w:r>
    </w:p>
    <w:p w14:paraId="2A7B02AC" w14:textId="77777777" w:rsidR="00E47CD3" w:rsidRPr="00025892" w:rsidRDefault="00E47CD3" w:rsidP="00A67C33">
      <w:pPr>
        <w:numPr>
          <w:ilvl w:val="0"/>
          <w:numId w:val="31"/>
        </w:numPr>
        <w:tabs>
          <w:tab w:val="left" w:pos="990"/>
          <w:tab w:val="left" w:pos="1620"/>
          <w:tab w:val="left" w:pos="7560"/>
          <w:tab w:val="right" w:pos="8280"/>
        </w:tabs>
        <w:spacing w:before="120"/>
        <w:ind w:left="1080"/>
        <w:rPr>
          <w:i/>
          <w:szCs w:val="20"/>
        </w:rPr>
      </w:pPr>
      <w:r w:rsidRPr="00025892">
        <w:rPr>
          <w:i/>
          <w:szCs w:val="20"/>
        </w:rPr>
        <w:t xml:space="preserve">At-risk </w:t>
      </w:r>
      <w:r w:rsidR="00007FF9">
        <w:rPr>
          <w:i/>
          <w:szCs w:val="20"/>
        </w:rPr>
        <w:t>amount</w:t>
      </w:r>
      <w:r w:rsidR="00007FF9" w:rsidRPr="00025892">
        <w:rPr>
          <w:i/>
          <w:szCs w:val="20"/>
        </w:rPr>
        <w:t xml:space="preserve"> </w:t>
      </w:r>
      <w:r w:rsidRPr="00025892">
        <w:rPr>
          <w:i/>
          <w:szCs w:val="20"/>
        </w:rPr>
        <w:t xml:space="preserve">at the end of </w:t>
      </w:r>
      <w:r w:rsidR="00623E5D">
        <w:rPr>
          <w:i/>
          <w:szCs w:val="20"/>
        </w:rPr>
        <w:t>year 2</w:t>
      </w:r>
      <w:r w:rsidRPr="00025892">
        <w:rPr>
          <w:i/>
          <w:szCs w:val="20"/>
        </w:rPr>
        <w:tab/>
        <w:t>$5,000</w:t>
      </w:r>
    </w:p>
    <w:p w14:paraId="4C2241D2" w14:textId="77777777" w:rsidR="00E47CD3" w:rsidRDefault="00E47CD3" w:rsidP="00A67C33">
      <w:pPr>
        <w:numPr>
          <w:ilvl w:val="0"/>
          <w:numId w:val="31"/>
        </w:numPr>
        <w:tabs>
          <w:tab w:val="left" w:pos="990"/>
          <w:tab w:val="left" w:pos="1620"/>
          <w:tab w:val="left" w:pos="7560"/>
          <w:tab w:val="right" w:pos="8280"/>
        </w:tabs>
        <w:spacing w:before="120"/>
        <w:ind w:left="1080"/>
        <w:rPr>
          <w:i/>
          <w:szCs w:val="20"/>
        </w:rPr>
      </w:pPr>
      <w:r w:rsidRPr="00025892">
        <w:rPr>
          <w:i/>
          <w:szCs w:val="20"/>
        </w:rPr>
        <w:t xml:space="preserve">Losses allowed under the at-risk rules in </w:t>
      </w:r>
      <w:r w:rsidR="00623E5D">
        <w:rPr>
          <w:i/>
          <w:szCs w:val="20"/>
        </w:rPr>
        <w:t>year 2</w:t>
      </w:r>
      <w:r w:rsidRPr="00025892">
        <w:rPr>
          <w:i/>
          <w:szCs w:val="20"/>
        </w:rPr>
        <w:t xml:space="preserve"> </w:t>
      </w:r>
      <w:r w:rsidRPr="00025892">
        <w:rPr>
          <w:i/>
          <w:szCs w:val="20"/>
        </w:rPr>
        <w:tab/>
        <w:t>$34,000</w:t>
      </w:r>
    </w:p>
    <w:p w14:paraId="5943FE1D" w14:textId="77777777" w:rsidR="00E47CD3" w:rsidRPr="00025892" w:rsidRDefault="00E47CD3" w:rsidP="00A67C33">
      <w:pPr>
        <w:numPr>
          <w:ilvl w:val="0"/>
          <w:numId w:val="31"/>
        </w:numPr>
        <w:tabs>
          <w:tab w:val="left" w:pos="990"/>
          <w:tab w:val="left" w:pos="1620"/>
          <w:tab w:val="left" w:pos="7560"/>
          <w:tab w:val="right" w:pos="8280"/>
        </w:tabs>
        <w:spacing w:before="120"/>
        <w:ind w:left="1080"/>
        <w:rPr>
          <w:i/>
          <w:szCs w:val="20"/>
        </w:rPr>
      </w:pPr>
      <w:r w:rsidRPr="00025892">
        <w:rPr>
          <w:i/>
          <w:szCs w:val="20"/>
        </w:rPr>
        <w:t xml:space="preserve">Total suspended passive losses at the end of </w:t>
      </w:r>
      <w:r w:rsidR="00623E5D">
        <w:rPr>
          <w:i/>
          <w:szCs w:val="20"/>
        </w:rPr>
        <w:t>year 1</w:t>
      </w:r>
      <w:r w:rsidRPr="00025892">
        <w:rPr>
          <w:i/>
          <w:szCs w:val="20"/>
        </w:rPr>
        <w:tab/>
        <w:t>$10,000</w:t>
      </w:r>
    </w:p>
    <w:p w14:paraId="20787CCC" w14:textId="77777777" w:rsidR="00E47CD3" w:rsidRPr="00025892" w:rsidRDefault="00E47CD3" w:rsidP="00A67C33">
      <w:pPr>
        <w:numPr>
          <w:ilvl w:val="0"/>
          <w:numId w:val="31"/>
        </w:numPr>
        <w:tabs>
          <w:tab w:val="left" w:pos="990"/>
          <w:tab w:val="left" w:pos="1620"/>
          <w:tab w:val="left" w:pos="7560"/>
          <w:tab w:val="right" w:pos="8280"/>
        </w:tabs>
        <w:spacing w:before="120"/>
        <w:ind w:left="1080"/>
        <w:rPr>
          <w:i/>
          <w:szCs w:val="20"/>
        </w:rPr>
      </w:pPr>
      <w:r w:rsidRPr="00025892">
        <w:rPr>
          <w:i/>
          <w:szCs w:val="20"/>
        </w:rPr>
        <w:t xml:space="preserve">Total suspended at-risk losses at the end of </w:t>
      </w:r>
      <w:r w:rsidR="00623E5D">
        <w:rPr>
          <w:i/>
          <w:szCs w:val="20"/>
        </w:rPr>
        <w:t xml:space="preserve">year </w:t>
      </w:r>
      <w:r w:rsidRPr="00025892">
        <w:rPr>
          <w:i/>
          <w:szCs w:val="20"/>
        </w:rPr>
        <w:t>2</w:t>
      </w:r>
      <w:r w:rsidRPr="00025892">
        <w:rPr>
          <w:i/>
          <w:szCs w:val="20"/>
        </w:rPr>
        <w:tab/>
        <w:t>$</w:t>
      </w:r>
      <w:r w:rsidR="00A42ADA">
        <w:rPr>
          <w:i/>
          <w:szCs w:val="20"/>
        </w:rPr>
        <w:t>-0-</w:t>
      </w:r>
    </w:p>
    <w:p w14:paraId="495864EB" w14:textId="77777777" w:rsidR="00E47CD3" w:rsidRPr="00025892" w:rsidRDefault="00E47CD3" w:rsidP="00A67C33">
      <w:pPr>
        <w:numPr>
          <w:ilvl w:val="0"/>
          <w:numId w:val="31"/>
        </w:numPr>
        <w:tabs>
          <w:tab w:val="left" w:pos="990"/>
          <w:tab w:val="left" w:pos="1620"/>
          <w:tab w:val="right" w:pos="7200"/>
          <w:tab w:val="left" w:pos="7560"/>
          <w:tab w:val="right" w:pos="8280"/>
        </w:tabs>
        <w:spacing w:before="120"/>
        <w:ind w:left="1080"/>
        <w:rPr>
          <w:i/>
          <w:szCs w:val="20"/>
        </w:rPr>
      </w:pPr>
      <w:r w:rsidRPr="00025892">
        <w:rPr>
          <w:i/>
          <w:szCs w:val="20"/>
        </w:rPr>
        <w:t xml:space="preserve">Deductible losses in </w:t>
      </w:r>
      <w:r w:rsidR="00623E5D">
        <w:rPr>
          <w:i/>
          <w:szCs w:val="20"/>
        </w:rPr>
        <w:t>year 1</w:t>
      </w:r>
      <w:r w:rsidRPr="00025892">
        <w:rPr>
          <w:i/>
          <w:szCs w:val="20"/>
        </w:rPr>
        <w:tab/>
      </w:r>
      <w:r w:rsidR="00623E5D">
        <w:rPr>
          <w:i/>
          <w:szCs w:val="20"/>
        </w:rPr>
        <w:tab/>
      </w:r>
      <w:r w:rsidRPr="00025892">
        <w:rPr>
          <w:i/>
          <w:szCs w:val="20"/>
        </w:rPr>
        <w:t>$</w:t>
      </w:r>
      <w:r w:rsidR="00A42ADA" w:rsidRPr="00025892">
        <w:rPr>
          <w:i/>
          <w:szCs w:val="20"/>
        </w:rPr>
        <w:t>1</w:t>
      </w:r>
      <w:r w:rsidR="00A42ADA">
        <w:rPr>
          <w:i/>
          <w:szCs w:val="20"/>
        </w:rPr>
        <w:t>0</w:t>
      </w:r>
      <w:r w:rsidRPr="00025892">
        <w:rPr>
          <w:i/>
          <w:szCs w:val="20"/>
        </w:rPr>
        <w:t>,000</w:t>
      </w:r>
    </w:p>
    <w:p w14:paraId="5F2457CC" w14:textId="77777777" w:rsidR="00E47CD3" w:rsidRPr="00025892" w:rsidRDefault="00623E5D" w:rsidP="00A67C33">
      <w:pPr>
        <w:numPr>
          <w:ilvl w:val="0"/>
          <w:numId w:val="31"/>
        </w:numPr>
        <w:tabs>
          <w:tab w:val="left" w:pos="990"/>
          <w:tab w:val="left" w:pos="1620"/>
          <w:tab w:val="right" w:pos="7200"/>
          <w:tab w:val="left" w:pos="7560"/>
          <w:tab w:val="right" w:pos="8280"/>
        </w:tabs>
        <w:spacing w:before="120"/>
        <w:ind w:left="1080"/>
        <w:rPr>
          <w:i/>
          <w:szCs w:val="20"/>
        </w:rPr>
      </w:pPr>
      <w:r>
        <w:rPr>
          <w:i/>
          <w:szCs w:val="20"/>
        </w:rPr>
        <w:t>Year 2</w:t>
      </w:r>
      <w:r w:rsidR="00E47CD3" w:rsidRPr="00025892">
        <w:rPr>
          <w:i/>
          <w:szCs w:val="20"/>
        </w:rPr>
        <w:t xml:space="preserve"> AGI after considering Beau Geste events</w:t>
      </w:r>
      <w:r w:rsidR="00E47CD3" w:rsidRPr="00025892">
        <w:rPr>
          <w:i/>
          <w:szCs w:val="20"/>
        </w:rPr>
        <w:tab/>
      </w:r>
      <w:r>
        <w:rPr>
          <w:i/>
          <w:szCs w:val="20"/>
        </w:rPr>
        <w:tab/>
      </w:r>
      <w:r w:rsidR="00E47CD3" w:rsidRPr="00025892">
        <w:rPr>
          <w:i/>
          <w:szCs w:val="20"/>
        </w:rPr>
        <w:t>$55,000</w:t>
      </w:r>
    </w:p>
    <w:p w14:paraId="10491171" w14:textId="77777777" w:rsidR="00E47CD3" w:rsidRPr="00025892" w:rsidRDefault="00E47CD3" w:rsidP="00F76BCF">
      <w:pPr>
        <w:tabs>
          <w:tab w:val="left" w:pos="1620"/>
          <w:tab w:val="right" w:pos="7200"/>
          <w:tab w:val="left" w:pos="7560"/>
        </w:tabs>
        <w:spacing w:before="120"/>
        <w:ind w:left="1440" w:hanging="360"/>
        <w:rPr>
          <w:i/>
          <w:szCs w:val="20"/>
        </w:rPr>
      </w:pPr>
      <w:r w:rsidRPr="00025892">
        <w:rPr>
          <w:i/>
          <w:szCs w:val="20"/>
        </w:rPr>
        <w:tab/>
      </w:r>
    </w:p>
    <w:p w14:paraId="5E2ED7D8" w14:textId="799BEB6F" w:rsidR="00E47CD3" w:rsidRPr="00025892" w:rsidRDefault="00D502A6" w:rsidP="00623E5D">
      <w:pPr>
        <w:pStyle w:val="ListParagraph"/>
        <w:numPr>
          <w:ilvl w:val="0"/>
          <w:numId w:val="28"/>
        </w:numPr>
        <w:rPr>
          <w:i/>
          <w:szCs w:val="20"/>
        </w:rPr>
      </w:pPr>
      <w:r>
        <w:rPr>
          <w:i/>
          <w:szCs w:val="20"/>
        </w:rPr>
        <w:t>Molly</w:t>
      </w:r>
      <w:r w:rsidRPr="00025892">
        <w:rPr>
          <w:i/>
          <w:szCs w:val="20"/>
        </w:rPr>
        <w:t xml:space="preserve"> </w:t>
      </w:r>
      <w:r w:rsidR="00E47CD3" w:rsidRPr="00025892">
        <w:rPr>
          <w:i/>
          <w:szCs w:val="20"/>
        </w:rPr>
        <w:t>could a) sell her entire interest in Beau Geste; or b) acquire an additional passive income generator (e.g., rental property).</w:t>
      </w:r>
    </w:p>
    <w:p w14:paraId="461B515C" w14:textId="77777777" w:rsidR="00FC155A" w:rsidRPr="00646930" w:rsidRDefault="00FC155A" w:rsidP="00FC155A">
      <w:pPr>
        <w:pStyle w:val="MC"/>
        <w:widowControl/>
        <w:tabs>
          <w:tab w:val="left" w:pos="720"/>
        </w:tabs>
        <w:ind w:left="360" w:hanging="360"/>
        <w:rPr>
          <w:sz w:val="24"/>
        </w:rPr>
      </w:pPr>
    </w:p>
    <w:p w14:paraId="210D12BC" w14:textId="77777777" w:rsidR="00FC155A" w:rsidRDefault="00FC155A" w:rsidP="00025892">
      <w:pPr>
        <w:outlineLvl w:val="0"/>
      </w:pPr>
    </w:p>
    <w:p w14:paraId="0D9487BF" w14:textId="40482277" w:rsidR="00745022" w:rsidRDefault="00745022" w:rsidP="008E4F2A">
      <w:pPr>
        <w:numPr>
          <w:ilvl w:val="0"/>
          <w:numId w:val="1"/>
        </w:numPr>
        <w:outlineLvl w:val="0"/>
      </w:pPr>
      <w:r w:rsidRPr="00622F7B">
        <w:t xml:space="preserve">[LO </w:t>
      </w:r>
      <w:r w:rsidR="00CC341C">
        <w:t>4</w:t>
      </w:r>
      <w:r w:rsidRPr="00622F7B">
        <w:t>] Anw</w:t>
      </w:r>
      <w:r w:rsidR="00D502A6">
        <w:t>e</w:t>
      </w:r>
      <w:r w:rsidRPr="00622F7B">
        <w:t>r ow</w:t>
      </w:r>
      <w:r>
        <w:t>ns a rental home and is involved in maintaining it and approving renters</w:t>
      </w:r>
      <w:r w:rsidR="000C1A4C">
        <w:t xml:space="preserve">. </w:t>
      </w:r>
      <w:r>
        <w:t>During the year he has a net loss of $8,000 from renting the home</w:t>
      </w:r>
      <w:r w:rsidR="000C1A4C">
        <w:t xml:space="preserve">. </w:t>
      </w:r>
      <w:r>
        <w:t xml:space="preserve">His other sources of income during the year </w:t>
      </w:r>
      <w:r w:rsidR="005B794C">
        <w:t xml:space="preserve">are </w:t>
      </w:r>
      <w:r>
        <w:t>a salary of $111,000 and $34,000 of long-term capital gains</w:t>
      </w:r>
      <w:r w:rsidR="000C1A4C">
        <w:t xml:space="preserve">. </w:t>
      </w:r>
      <w:r>
        <w:t>How much of Anw</w:t>
      </w:r>
      <w:r w:rsidR="00D502A6">
        <w:t>e</w:t>
      </w:r>
      <w:r>
        <w:t>r’s $8,000 rental loss can he deduct currently if he has no sources of passive income?</w:t>
      </w:r>
    </w:p>
    <w:p w14:paraId="16286EE0" w14:textId="77777777" w:rsidR="00745022" w:rsidRDefault="00745022" w:rsidP="00622F7B">
      <w:pPr>
        <w:outlineLvl w:val="0"/>
      </w:pPr>
    </w:p>
    <w:p w14:paraId="28323B9A" w14:textId="0CD036A4" w:rsidR="00745022" w:rsidRPr="0003518A" w:rsidRDefault="00745022" w:rsidP="00622F7B">
      <w:pPr>
        <w:ind w:left="360"/>
        <w:rPr>
          <w:i/>
        </w:rPr>
      </w:pPr>
      <w:r w:rsidRPr="0003518A">
        <w:rPr>
          <w:i/>
        </w:rPr>
        <w:t>Because Anw</w:t>
      </w:r>
      <w:r w:rsidR="00D502A6">
        <w:rPr>
          <w:i/>
        </w:rPr>
        <w:t>e</w:t>
      </w:r>
      <w:r w:rsidRPr="0003518A">
        <w:rPr>
          <w:i/>
        </w:rPr>
        <w:t>r meets the definition of an “active participant” and has adjusted gross income of less than $150,000, before considering his rental loss, he may deduct $2,500 of the loss against his other income</w:t>
      </w:r>
      <w:r w:rsidR="000C1A4C">
        <w:rPr>
          <w:i/>
        </w:rPr>
        <w:t xml:space="preserve">. </w:t>
      </w:r>
      <w:r w:rsidRPr="0003518A">
        <w:rPr>
          <w:i/>
        </w:rPr>
        <w:t xml:space="preserve">His $2,500 deduction is computed as follows: </w:t>
      </w:r>
    </w:p>
    <w:p w14:paraId="2A254D93" w14:textId="77777777" w:rsidR="00745022" w:rsidRPr="0003518A" w:rsidRDefault="00745022" w:rsidP="00622F7B">
      <w:pPr>
        <w:ind w:left="360"/>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4"/>
        <w:gridCol w:w="1200"/>
        <w:gridCol w:w="2214"/>
      </w:tblGrid>
      <w:tr w:rsidR="00745022" w:rsidRPr="000A6D89" w14:paraId="2544E5A2" w14:textId="77777777" w:rsidTr="000A6D89">
        <w:trPr>
          <w:jc w:val="center"/>
        </w:trPr>
        <w:tc>
          <w:tcPr>
            <w:tcW w:w="4134" w:type="dxa"/>
          </w:tcPr>
          <w:p w14:paraId="741DD6F1" w14:textId="77777777" w:rsidR="00745022" w:rsidRPr="000A6D89" w:rsidRDefault="00745022" w:rsidP="000A6D89">
            <w:pPr>
              <w:spacing w:before="40" w:after="40"/>
              <w:jc w:val="center"/>
              <w:rPr>
                <w:b/>
                <w:i/>
              </w:rPr>
            </w:pPr>
            <w:r w:rsidRPr="000A6D89">
              <w:rPr>
                <w:b/>
                <w:i/>
              </w:rPr>
              <w:t>Description</w:t>
            </w:r>
          </w:p>
        </w:tc>
        <w:tc>
          <w:tcPr>
            <w:tcW w:w="1200" w:type="dxa"/>
          </w:tcPr>
          <w:p w14:paraId="37CBD3E3" w14:textId="77777777" w:rsidR="00745022" w:rsidRPr="000A6D89" w:rsidRDefault="00745022" w:rsidP="000A6D89">
            <w:pPr>
              <w:spacing w:before="40" w:after="40"/>
              <w:jc w:val="center"/>
              <w:rPr>
                <w:b/>
                <w:i/>
              </w:rPr>
            </w:pPr>
            <w:r w:rsidRPr="000A6D89">
              <w:rPr>
                <w:b/>
                <w:i/>
              </w:rPr>
              <w:t>Amount</w:t>
            </w:r>
          </w:p>
        </w:tc>
        <w:tc>
          <w:tcPr>
            <w:tcW w:w="2214" w:type="dxa"/>
          </w:tcPr>
          <w:p w14:paraId="218C7A84" w14:textId="77777777" w:rsidR="00745022" w:rsidRPr="000A6D89" w:rsidRDefault="00745022" w:rsidP="000A6D89">
            <w:pPr>
              <w:spacing w:before="40" w:after="40"/>
              <w:jc w:val="center"/>
              <w:rPr>
                <w:b/>
                <w:i/>
              </w:rPr>
            </w:pPr>
            <w:r w:rsidRPr="000A6D89">
              <w:rPr>
                <w:b/>
                <w:i/>
              </w:rPr>
              <w:t>Explanation</w:t>
            </w:r>
          </w:p>
        </w:tc>
      </w:tr>
      <w:tr w:rsidR="00745022" w:rsidRPr="000A6D89" w14:paraId="4DD703C3" w14:textId="77777777" w:rsidTr="000A6D89">
        <w:trPr>
          <w:jc w:val="center"/>
        </w:trPr>
        <w:tc>
          <w:tcPr>
            <w:tcW w:w="4134" w:type="dxa"/>
          </w:tcPr>
          <w:p w14:paraId="5F2A3CDC" w14:textId="77777777" w:rsidR="00745022" w:rsidRPr="000A6D89" w:rsidRDefault="00745022" w:rsidP="000A6D89">
            <w:pPr>
              <w:spacing w:before="40" w:after="40"/>
              <w:rPr>
                <w:i/>
              </w:rPr>
            </w:pPr>
            <w:r w:rsidRPr="000A6D89">
              <w:rPr>
                <w:i/>
              </w:rPr>
              <w:t>(1) Maximum deduction available before phase-out</w:t>
            </w:r>
          </w:p>
        </w:tc>
        <w:tc>
          <w:tcPr>
            <w:tcW w:w="1200" w:type="dxa"/>
          </w:tcPr>
          <w:p w14:paraId="726DA8EC" w14:textId="77777777" w:rsidR="00745022" w:rsidRPr="000A6D89" w:rsidRDefault="00745022" w:rsidP="000A6D89">
            <w:pPr>
              <w:spacing w:before="40" w:after="40"/>
              <w:jc w:val="right"/>
              <w:rPr>
                <w:i/>
              </w:rPr>
            </w:pPr>
            <w:r w:rsidRPr="000A6D89">
              <w:rPr>
                <w:i/>
              </w:rPr>
              <w:t>$25,000</w:t>
            </w:r>
          </w:p>
        </w:tc>
        <w:tc>
          <w:tcPr>
            <w:tcW w:w="2214" w:type="dxa"/>
          </w:tcPr>
          <w:p w14:paraId="73F6603D" w14:textId="77777777" w:rsidR="00745022" w:rsidRPr="000A6D89" w:rsidRDefault="00745022" w:rsidP="000A6D89">
            <w:pPr>
              <w:spacing w:before="40" w:after="40"/>
              <w:rPr>
                <w:i/>
              </w:rPr>
            </w:pPr>
          </w:p>
        </w:tc>
      </w:tr>
      <w:tr w:rsidR="00745022" w:rsidRPr="000A6D89" w14:paraId="7005DEDF" w14:textId="77777777" w:rsidTr="000A6D89">
        <w:trPr>
          <w:jc w:val="center"/>
        </w:trPr>
        <w:tc>
          <w:tcPr>
            <w:tcW w:w="4134" w:type="dxa"/>
          </w:tcPr>
          <w:p w14:paraId="4CB83691" w14:textId="77777777" w:rsidR="00745022" w:rsidRPr="000A6D89" w:rsidRDefault="00745022" w:rsidP="000A6D89">
            <w:pPr>
              <w:spacing w:before="40" w:after="40"/>
              <w:rPr>
                <w:i/>
              </w:rPr>
            </w:pPr>
            <w:r w:rsidRPr="000A6D89">
              <w:rPr>
                <w:i/>
              </w:rPr>
              <w:t>(2) Phase-out of maximum deduction</w:t>
            </w:r>
          </w:p>
        </w:tc>
        <w:tc>
          <w:tcPr>
            <w:tcW w:w="1200" w:type="dxa"/>
          </w:tcPr>
          <w:p w14:paraId="521233A3" w14:textId="77777777" w:rsidR="00745022" w:rsidRPr="000A6D89" w:rsidRDefault="00745022" w:rsidP="000A6D89">
            <w:pPr>
              <w:spacing w:before="40" w:after="40"/>
              <w:jc w:val="right"/>
              <w:rPr>
                <w:i/>
              </w:rPr>
            </w:pPr>
            <w:r w:rsidRPr="000A6D89">
              <w:rPr>
                <w:i/>
              </w:rPr>
              <w:t>$22,500</w:t>
            </w:r>
          </w:p>
        </w:tc>
        <w:tc>
          <w:tcPr>
            <w:tcW w:w="2214" w:type="dxa"/>
          </w:tcPr>
          <w:p w14:paraId="1F53E1B0" w14:textId="77777777" w:rsidR="00745022" w:rsidRPr="000A6D89" w:rsidRDefault="00745022" w:rsidP="000A6D89">
            <w:pPr>
              <w:spacing w:before="40" w:after="40"/>
              <w:rPr>
                <w:i/>
              </w:rPr>
            </w:pPr>
            <w:r w:rsidRPr="000A6D89">
              <w:rPr>
                <w:i/>
              </w:rPr>
              <w:t>[($145,000 AGI – 100,000) x .5]</w:t>
            </w:r>
          </w:p>
        </w:tc>
      </w:tr>
      <w:tr w:rsidR="00745022" w:rsidRPr="000A6D89" w14:paraId="0BB6E359" w14:textId="77777777" w:rsidTr="000A6D89">
        <w:trPr>
          <w:jc w:val="center"/>
        </w:trPr>
        <w:tc>
          <w:tcPr>
            <w:tcW w:w="4134" w:type="dxa"/>
          </w:tcPr>
          <w:p w14:paraId="2C440B39" w14:textId="77777777" w:rsidR="00745022" w:rsidRPr="000A6D89" w:rsidRDefault="00745022" w:rsidP="000A6D89">
            <w:pPr>
              <w:spacing w:before="40" w:after="40"/>
              <w:rPr>
                <w:i/>
              </w:rPr>
            </w:pPr>
            <w:r w:rsidRPr="000A6D89">
              <w:rPr>
                <w:i/>
              </w:rPr>
              <w:t>(3) Maximum deduction in current year</w:t>
            </w:r>
          </w:p>
        </w:tc>
        <w:tc>
          <w:tcPr>
            <w:tcW w:w="1200" w:type="dxa"/>
          </w:tcPr>
          <w:p w14:paraId="496F4713" w14:textId="77777777" w:rsidR="00745022" w:rsidRPr="000A6D89" w:rsidRDefault="00745022" w:rsidP="000A6D89">
            <w:pPr>
              <w:spacing w:before="40" w:after="40"/>
              <w:jc w:val="right"/>
              <w:rPr>
                <w:i/>
              </w:rPr>
            </w:pPr>
            <w:r w:rsidRPr="000A6D89">
              <w:rPr>
                <w:i/>
              </w:rPr>
              <w:t>$2,500</w:t>
            </w:r>
          </w:p>
        </w:tc>
        <w:tc>
          <w:tcPr>
            <w:tcW w:w="2214" w:type="dxa"/>
          </w:tcPr>
          <w:p w14:paraId="4D0674AD" w14:textId="77777777" w:rsidR="00745022" w:rsidRPr="000A6D89" w:rsidRDefault="00745022" w:rsidP="000A6D89">
            <w:pPr>
              <w:spacing w:before="40" w:after="40"/>
              <w:rPr>
                <w:i/>
              </w:rPr>
            </w:pPr>
            <w:r w:rsidRPr="000A6D89">
              <w:rPr>
                <w:i/>
              </w:rPr>
              <w:t>(1) – (2)</w:t>
            </w:r>
          </w:p>
        </w:tc>
      </w:tr>
      <w:tr w:rsidR="00745022" w:rsidRPr="000A6D89" w14:paraId="6D845D39" w14:textId="77777777" w:rsidTr="000A6D89">
        <w:trPr>
          <w:jc w:val="center"/>
        </w:trPr>
        <w:tc>
          <w:tcPr>
            <w:tcW w:w="4134" w:type="dxa"/>
          </w:tcPr>
          <w:p w14:paraId="023C804A" w14:textId="77777777" w:rsidR="00745022" w:rsidRPr="000A6D89" w:rsidRDefault="00745022" w:rsidP="000A6D89">
            <w:pPr>
              <w:spacing w:before="40" w:after="40"/>
              <w:rPr>
                <w:i/>
              </w:rPr>
            </w:pPr>
            <w:r w:rsidRPr="000A6D89">
              <w:rPr>
                <w:i/>
              </w:rPr>
              <w:t>(4) Rental loss in current year</w:t>
            </w:r>
          </w:p>
        </w:tc>
        <w:tc>
          <w:tcPr>
            <w:tcW w:w="1200" w:type="dxa"/>
          </w:tcPr>
          <w:p w14:paraId="661237C6" w14:textId="77777777" w:rsidR="00745022" w:rsidRPr="000A6D89" w:rsidRDefault="00745022" w:rsidP="000A6D89">
            <w:pPr>
              <w:spacing w:before="40" w:after="40"/>
              <w:jc w:val="right"/>
              <w:rPr>
                <w:i/>
              </w:rPr>
            </w:pPr>
            <w:r w:rsidRPr="000A6D89">
              <w:rPr>
                <w:i/>
              </w:rPr>
              <w:t>$8,000</w:t>
            </w:r>
          </w:p>
        </w:tc>
        <w:tc>
          <w:tcPr>
            <w:tcW w:w="2214" w:type="dxa"/>
          </w:tcPr>
          <w:p w14:paraId="63F29D2B" w14:textId="77777777" w:rsidR="00745022" w:rsidRPr="000A6D89" w:rsidRDefault="00745022" w:rsidP="000A6D89">
            <w:pPr>
              <w:spacing w:before="40" w:after="40"/>
              <w:rPr>
                <w:i/>
              </w:rPr>
            </w:pPr>
          </w:p>
        </w:tc>
      </w:tr>
      <w:tr w:rsidR="00745022" w:rsidRPr="000A6D89" w14:paraId="16E1951A" w14:textId="77777777" w:rsidTr="000A6D89">
        <w:trPr>
          <w:jc w:val="center"/>
        </w:trPr>
        <w:tc>
          <w:tcPr>
            <w:tcW w:w="4134" w:type="dxa"/>
          </w:tcPr>
          <w:p w14:paraId="09F95569" w14:textId="77777777" w:rsidR="00745022" w:rsidRPr="000A6D89" w:rsidRDefault="00745022" w:rsidP="000A6D89">
            <w:pPr>
              <w:spacing w:before="40" w:after="40"/>
              <w:rPr>
                <w:i/>
              </w:rPr>
            </w:pPr>
            <w:r w:rsidRPr="000A6D89">
              <w:rPr>
                <w:i/>
              </w:rPr>
              <w:t>(5) Rental loss deductible in current year</w:t>
            </w:r>
          </w:p>
        </w:tc>
        <w:tc>
          <w:tcPr>
            <w:tcW w:w="1200" w:type="dxa"/>
          </w:tcPr>
          <w:p w14:paraId="3D4E60CE" w14:textId="77777777" w:rsidR="00745022" w:rsidRPr="000A6D89" w:rsidRDefault="00745022" w:rsidP="000A6D89">
            <w:pPr>
              <w:spacing w:before="40" w:after="40"/>
              <w:jc w:val="right"/>
              <w:rPr>
                <w:i/>
              </w:rPr>
            </w:pPr>
            <w:r w:rsidRPr="000A6D89">
              <w:rPr>
                <w:i/>
              </w:rPr>
              <w:t>$2,500</w:t>
            </w:r>
          </w:p>
        </w:tc>
        <w:tc>
          <w:tcPr>
            <w:tcW w:w="2214" w:type="dxa"/>
          </w:tcPr>
          <w:p w14:paraId="02E49981" w14:textId="77777777" w:rsidR="00745022" w:rsidRPr="000A6D89" w:rsidRDefault="00745022" w:rsidP="000A6D89">
            <w:pPr>
              <w:spacing w:before="40" w:after="40"/>
              <w:rPr>
                <w:i/>
              </w:rPr>
            </w:pPr>
            <w:r w:rsidRPr="000A6D89">
              <w:rPr>
                <w:i/>
              </w:rPr>
              <w:t>Lesser of (3) or (4)</w:t>
            </w:r>
          </w:p>
        </w:tc>
      </w:tr>
      <w:tr w:rsidR="00745022" w:rsidRPr="000A6D89" w14:paraId="78883591" w14:textId="77777777" w:rsidTr="000A6D89">
        <w:trPr>
          <w:jc w:val="center"/>
        </w:trPr>
        <w:tc>
          <w:tcPr>
            <w:tcW w:w="4134" w:type="dxa"/>
          </w:tcPr>
          <w:p w14:paraId="6721B281" w14:textId="77777777" w:rsidR="00745022" w:rsidRPr="000A6D89" w:rsidRDefault="00745022" w:rsidP="000A6D89">
            <w:pPr>
              <w:spacing w:before="40" w:after="40"/>
              <w:rPr>
                <w:i/>
              </w:rPr>
            </w:pPr>
            <w:r w:rsidRPr="000A6D89">
              <w:rPr>
                <w:i/>
              </w:rPr>
              <w:t>Passive loss carry forward</w:t>
            </w:r>
          </w:p>
        </w:tc>
        <w:tc>
          <w:tcPr>
            <w:tcW w:w="1200" w:type="dxa"/>
          </w:tcPr>
          <w:p w14:paraId="12C9E837" w14:textId="77777777" w:rsidR="00745022" w:rsidRPr="000A6D89" w:rsidRDefault="00745022" w:rsidP="000A6D89">
            <w:pPr>
              <w:spacing w:before="40" w:after="40"/>
              <w:jc w:val="right"/>
              <w:rPr>
                <w:i/>
              </w:rPr>
            </w:pPr>
            <w:r w:rsidRPr="000A6D89">
              <w:rPr>
                <w:i/>
              </w:rPr>
              <w:t>$5,500</w:t>
            </w:r>
          </w:p>
        </w:tc>
        <w:tc>
          <w:tcPr>
            <w:tcW w:w="2214" w:type="dxa"/>
          </w:tcPr>
          <w:p w14:paraId="66DE484A" w14:textId="77777777" w:rsidR="00745022" w:rsidRPr="000A6D89" w:rsidRDefault="00745022" w:rsidP="000A6D89">
            <w:pPr>
              <w:spacing w:before="40" w:after="40"/>
              <w:rPr>
                <w:i/>
              </w:rPr>
            </w:pPr>
            <w:r w:rsidRPr="000A6D89">
              <w:rPr>
                <w:i/>
              </w:rPr>
              <w:t>(3) – (4)</w:t>
            </w:r>
          </w:p>
        </w:tc>
      </w:tr>
    </w:tbl>
    <w:p w14:paraId="1C7BF117" w14:textId="77777777" w:rsidR="00745022" w:rsidRDefault="00745022" w:rsidP="00622F7B">
      <w:pPr>
        <w:ind w:left="360"/>
        <w:outlineLvl w:val="0"/>
      </w:pPr>
    </w:p>
    <w:p w14:paraId="59DCCB1B" w14:textId="77777777" w:rsidR="00745022" w:rsidRDefault="00745022" w:rsidP="00C04668">
      <w:pPr>
        <w:outlineLvl w:val="0"/>
        <w:rPr>
          <w:b/>
          <w:sz w:val="28"/>
          <w:szCs w:val="28"/>
        </w:rPr>
      </w:pPr>
      <w:r>
        <w:rPr>
          <w:b/>
          <w:sz w:val="28"/>
          <w:szCs w:val="28"/>
        </w:rPr>
        <w:t>Comprehensive Problems</w:t>
      </w:r>
    </w:p>
    <w:p w14:paraId="121A2481" w14:textId="77777777" w:rsidR="006E1787" w:rsidRDefault="006E1787" w:rsidP="003B22C1">
      <w:pPr>
        <w:tabs>
          <w:tab w:val="left" w:pos="360"/>
        </w:tabs>
        <w:ind w:left="360" w:hanging="360"/>
        <w:outlineLvl w:val="0"/>
      </w:pPr>
    </w:p>
    <w:p w14:paraId="0FF71CA4" w14:textId="195F1B10" w:rsidR="00745022" w:rsidRDefault="00BB5087" w:rsidP="003B22C1">
      <w:pPr>
        <w:tabs>
          <w:tab w:val="left" w:pos="360"/>
        </w:tabs>
        <w:ind w:left="360" w:hanging="360"/>
        <w:outlineLvl w:val="0"/>
      </w:pPr>
      <w:r>
        <w:t>6</w:t>
      </w:r>
      <w:r w:rsidR="00F5559C">
        <w:t>3</w:t>
      </w:r>
      <w:r w:rsidR="003B22C1">
        <w:t>.</w:t>
      </w:r>
      <w:r w:rsidR="002C3BA8">
        <w:t xml:space="preserve">  </w:t>
      </w:r>
      <w:r w:rsidR="003B22C1">
        <w:t xml:space="preserve">[Tax Forms] </w:t>
      </w:r>
      <w:r w:rsidR="00745022" w:rsidRPr="002E4867">
        <w:t xml:space="preserve">During </w:t>
      </w:r>
      <w:r w:rsidR="00A10725">
        <w:t>2018</w:t>
      </w:r>
      <w:r w:rsidR="00745022">
        <w:t>, your clients, Mr. and Mrs. Howell, owned the following investment assets:</w:t>
      </w:r>
    </w:p>
    <w:p w14:paraId="161286C3" w14:textId="77777777" w:rsidR="00745022" w:rsidRDefault="00745022" w:rsidP="00C0466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1507"/>
        <w:gridCol w:w="1254"/>
        <w:gridCol w:w="1662"/>
      </w:tblGrid>
      <w:tr w:rsidR="00745022" w14:paraId="7B817D5B" w14:textId="77777777" w:rsidTr="00242D39">
        <w:trPr>
          <w:jc w:val="center"/>
        </w:trPr>
        <w:tc>
          <w:tcPr>
            <w:tcW w:w="2988" w:type="dxa"/>
          </w:tcPr>
          <w:p w14:paraId="5FC8AFBE" w14:textId="77777777" w:rsidR="00745022" w:rsidRDefault="00745022" w:rsidP="00B33EBC">
            <w:pPr>
              <w:jc w:val="center"/>
              <w:rPr>
                <w:b/>
              </w:rPr>
            </w:pPr>
            <w:r>
              <w:rPr>
                <w:b/>
              </w:rPr>
              <w:t>Investment Assets</w:t>
            </w:r>
          </w:p>
        </w:tc>
        <w:tc>
          <w:tcPr>
            <w:tcW w:w="1507" w:type="dxa"/>
          </w:tcPr>
          <w:p w14:paraId="310B021D" w14:textId="77777777" w:rsidR="00745022" w:rsidRDefault="00745022" w:rsidP="00B33EBC">
            <w:pPr>
              <w:jc w:val="center"/>
              <w:rPr>
                <w:b/>
              </w:rPr>
            </w:pPr>
            <w:r>
              <w:rPr>
                <w:b/>
              </w:rPr>
              <w:t>Date Acquired</w:t>
            </w:r>
          </w:p>
        </w:tc>
        <w:tc>
          <w:tcPr>
            <w:tcW w:w="1254" w:type="dxa"/>
          </w:tcPr>
          <w:p w14:paraId="0E5CD034" w14:textId="77777777" w:rsidR="00745022" w:rsidRDefault="00745022" w:rsidP="00B33EBC">
            <w:pPr>
              <w:jc w:val="center"/>
              <w:rPr>
                <w:b/>
              </w:rPr>
            </w:pPr>
            <w:r>
              <w:rPr>
                <w:b/>
              </w:rPr>
              <w:t>Purchase Price</w:t>
            </w:r>
          </w:p>
        </w:tc>
        <w:tc>
          <w:tcPr>
            <w:tcW w:w="1662" w:type="dxa"/>
          </w:tcPr>
          <w:p w14:paraId="19AC212D" w14:textId="77777777" w:rsidR="00745022" w:rsidRDefault="00745022" w:rsidP="00B33EBC">
            <w:pPr>
              <w:jc w:val="center"/>
              <w:rPr>
                <w:b/>
              </w:rPr>
            </w:pPr>
            <w:r>
              <w:rPr>
                <w:b/>
              </w:rPr>
              <w:t>Broker’s Commission Paid at Time of Purchase</w:t>
            </w:r>
          </w:p>
        </w:tc>
      </w:tr>
      <w:tr w:rsidR="00745022" w14:paraId="057B3633" w14:textId="77777777" w:rsidTr="00242D39">
        <w:trPr>
          <w:jc w:val="center"/>
        </w:trPr>
        <w:tc>
          <w:tcPr>
            <w:tcW w:w="2988" w:type="dxa"/>
          </w:tcPr>
          <w:p w14:paraId="31B30D3C" w14:textId="77777777" w:rsidR="00745022" w:rsidRDefault="00745022" w:rsidP="00B33EBC">
            <w:r>
              <w:t>300 shares of IBM common</w:t>
            </w:r>
          </w:p>
        </w:tc>
        <w:tc>
          <w:tcPr>
            <w:tcW w:w="1507" w:type="dxa"/>
          </w:tcPr>
          <w:p w14:paraId="3D0F9655" w14:textId="73D13CF8" w:rsidR="00745022" w:rsidRDefault="00745022">
            <w:pPr>
              <w:ind w:right="108"/>
              <w:jc w:val="right"/>
            </w:pPr>
            <w:r>
              <w:t>11/22/</w:t>
            </w:r>
            <w:r w:rsidR="00A10725">
              <w:t>2015</w:t>
            </w:r>
          </w:p>
        </w:tc>
        <w:tc>
          <w:tcPr>
            <w:tcW w:w="1254" w:type="dxa"/>
          </w:tcPr>
          <w:p w14:paraId="1A070510" w14:textId="77777777" w:rsidR="00745022" w:rsidRDefault="00745022" w:rsidP="00B33EBC">
            <w:pPr>
              <w:jc w:val="right"/>
            </w:pPr>
            <w:r>
              <w:t>$10,350</w:t>
            </w:r>
          </w:p>
        </w:tc>
        <w:tc>
          <w:tcPr>
            <w:tcW w:w="1662" w:type="dxa"/>
          </w:tcPr>
          <w:p w14:paraId="1A59E38C" w14:textId="77777777" w:rsidR="00745022" w:rsidRDefault="00745022" w:rsidP="00B33EBC">
            <w:pPr>
              <w:jc w:val="right"/>
            </w:pPr>
            <w:r>
              <w:t>$100</w:t>
            </w:r>
          </w:p>
        </w:tc>
      </w:tr>
      <w:tr w:rsidR="00745022" w14:paraId="381D9293" w14:textId="77777777" w:rsidTr="00242D39">
        <w:trPr>
          <w:jc w:val="center"/>
        </w:trPr>
        <w:tc>
          <w:tcPr>
            <w:tcW w:w="2988" w:type="dxa"/>
          </w:tcPr>
          <w:p w14:paraId="62DAE8D0" w14:textId="77777777" w:rsidR="00745022" w:rsidRDefault="00745022" w:rsidP="00B33EBC">
            <w:r>
              <w:t>200 shares of IBM common</w:t>
            </w:r>
          </w:p>
        </w:tc>
        <w:tc>
          <w:tcPr>
            <w:tcW w:w="1507" w:type="dxa"/>
          </w:tcPr>
          <w:p w14:paraId="03226CCD" w14:textId="17224166" w:rsidR="00745022" w:rsidRDefault="00973A94">
            <w:pPr>
              <w:ind w:right="108"/>
              <w:jc w:val="right"/>
            </w:pPr>
            <w:r>
              <w:t>4/3/</w:t>
            </w:r>
            <w:r w:rsidR="00A10725">
              <w:t>2016</w:t>
            </w:r>
          </w:p>
        </w:tc>
        <w:tc>
          <w:tcPr>
            <w:tcW w:w="1254" w:type="dxa"/>
          </w:tcPr>
          <w:p w14:paraId="5AB4A3E7" w14:textId="77777777" w:rsidR="00745022" w:rsidRDefault="00745022" w:rsidP="00B33EBC">
            <w:pPr>
              <w:jc w:val="right"/>
            </w:pPr>
            <w:r>
              <w:t>$43,250</w:t>
            </w:r>
          </w:p>
        </w:tc>
        <w:tc>
          <w:tcPr>
            <w:tcW w:w="1662" w:type="dxa"/>
          </w:tcPr>
          <w:p w14:paraId="5F00ADEF" w14:textId="77777777" w:rsidR="00745022" w:rsidRDefault="00745022" w:rsidP="00B33EBC">
            <w:pPr>
              <w:jc w:val="right"/>
            </w:pPr>
            <w:r>
              <w:t>$300</w:t>
            </w:r>
          </w:p>
        </w:tc>
      </w:tr>
      <w:tr w:rsidR="00745022" w14:paraId="72A65B58" w14:textId="77777777" w:rsidTr="00242D39">
        <w:trPr>
          <w:jc w:val="center"/>
        </w:trPr>
        <w:tc>
          <w:tcPr>
            <w:tcW w:w="2988" w:type="dxa"/>
          </w:tcPr>
          <w:p w14:paraId="618CE8B1" w14:textId="77777777" w:rsidR="00745022" w:rsidRDefault="00745022" w:rsidP="00B33EBC">
            <w:r>
              <w:t>3,000 shares of Apple preferred</w:t>
            </w:r>
          </w:p>
        </w:tc>
        <w:tc>
          <w:tcPr>
            <w:tcW w:w="1507" w:type="dxa"/>
          </w:tcPr>
          <w:p w14:paraId="75C7BF97" w14:textId="77777777" w:rsidR="00745022" w:rsidRDefault="00745022" w:rsidP="004621A7">
            <w:pPr>
              <w:ind w:right="108"/>
              <w:jc w:val="right"/>
            </w:pPr>
          </w:p>
          <w:p w14:paraId="0B0DF646" w14:textId="10F44CCB" w:rsidR="00745022" w:rsidRDefault="00745022">
            <w:pPr>
              <w:ind w:right="108"/>
              <w:jc w:val="right"/>
            </w:pPr>
            <w:r>
              <w:t>12/12/</w:t>
            </w:r>
            <w:r w:rsidR="00A10725">
              <w:t>2016</w:t>
            </w:r>
          </w:p>
        </w:tc>
        <w:tc>
          <w:tcPr>
            <w:tcW w:w="1254" w:type="dxa"/>
          </w:tcPr>
          <w:p w14:paraId="31AD9CFE" w14:textId="77777777" w:rsidR="00745022" w:rsidRDefault="00745022" w:rsidP="00B33EBC">
            <w:pPr>
              <w:jc w:val="right"/>
            </w:pPr>
          </w:p>
          <w:p w14:paraId="6C6C93A3" w14:textId="77777777" w:rsidR="00745022" w:rsidRDefault="00745022" w:rsidP="00B33EBC">
            <w:pPr>
              <w:jc w:val="right"/>
            </w:pPr>
            <w:r>
              <w:t>$147,000</w:t>
            </w:r>
          </w:p>
        </w:tc>
        <w:tc>
          <w:tcPr>
            <w:tcW w:w="1662" w:type="dxa"/>
          </w:tcPr>
          <w:p w14:paraId="1C68CC7A" w14:textId="77777777" w:rsidR="00745022" w:rsidRDefault="00745022" w:rsidP="00B33EBC">
            <w:pPr>
              <w:jc w:val="right"/>
            </w:pPr>
          </w:p>
          <w:p w14:paraId="7B792C53" w14:textId="77777777" w:rsidR="00745022" w:rsidRDefault="00745022" w:rsidP="00B33EBC">
            <w:pPr>
              <w:jc w:val="right"/>
            </w:pPr>
            <w:r>
              <w:t>$1,300</w:t>
            </w:r>
          </w:p>
        </w:tc>
      </w:tr>
      <w:tr w:rsidR="00745022" w14:paraId="3C265A80" w14:textId="77777777" w:rsidTr="00242D39">
        <w:trPr>
          <w:jc w:val="center"/>
        </w:trPr>
        <w:tc>
          <w:tcPr>
            <w:tcW w:w="2988" w:type="dxa"/>
          </w:tcPr>
          <w:p w14:paraId="730B2E16" w14:textId="3AC55FF4" w:rsidR="00745022" w:rsidRDefault="00745022" w:rsidP="00B33EBC">
            <w:r>
              <w:t>2,100 shares of Cisco common</w:t>
            </w:r>
          </w:p>
        </w:tc>
        <w:tc>
          <w:tcPr>
            <w:tcW w:w="1507" w:type="dxa"/>
          </w:tcPr>
          <w:p w14:paraId="0EF3EA39" w14:textId="77777777" w:rsidR="00745022" w:rsidRDefault="00745022" w:rsidP="004621A7">
            <w:pPr>
              <w:ind w:right="108"/>
              <w:jc w:val="right"/>
            </w:pPr>
          </w:p>
          <w:p w14:paraId="3E6D334C" w14:textId="421F960A" w:rsidR="00745022" w:rsidRDefault="00745022">
            <w:pPr>
              <w:ind w:right="108"/>
              <w:jc w:val="right"/>
            </w:pPr>
            <w:r>
              <w:t>8/14/</w:t>
            </w:r>
            <w:r w:rsidR="00A10725">
              <w:t>2017</w:t>
            </w:r>
          </w:p>
        </w:tc>
        <w:tc>
          <w:tcPr>
            <w:tcW w:w="1254" w:type="dxa"/>
          </w:tcPr>
          <w:p w14:paraId="7E55B2FD" w14:textId="77777777" w:rsidR="00745022" w:rsidRDefault="00745022" w:rsidP="00B33EBC">
            <w:pPr>
              <w:jc w:val="right"/>
            </w:pPr>
          </w:p>
          <w:p w14:paraId="38C07F95" w14:textId="77777777" w:rsidR="00745022" w:rsidRDefault="00745022" w:rsidP="00B33EBC">
            <w:pPr>
              <w:jc w:val="right"/>
            </w:pPr>
            <w:r>
              <w:t>$52,500</w:t>
            </w:r>
          </w:p>
        </w:tc>
        <w:tc>
          <w:tcPr>
            <w:tcW w:w="1662" w:type="dxa"/>
          </w:tcPr>
          <w:p w14:paraId="4BEB51B8" w14:textId="77777777" w:rsidR="00745022" w:rsidRDefault="00745022" w:rsidP="00B33EBC">
            <w:pPr>
              <w:jc w:val="right"/>
            </w:pPr>
          </w:p>
          <w:p w14:paraId="1DAACA7A" w14:textId="77777777" w:rsidR="00745022" w:rsidRDefault="00745022" w:rsidP="00B33EBC">
            <w:pPr>
              <w:jc w:val="right"/>
            </w:pPr>
            <w:r>
              <w:t>$550</w:t>
            </w:r>
          </w:p>
        </w:tc>
      </w:tr>
      <w:tr w:rsidR="00745022" w14:paraId="4144629E" w14:textId="77777777" w:rsidTr="00242D39">
        <w:trPr>
          <w:jc w:val="center"/>
        </w:trPr>
        <w:tc>
          <w:tcPr>
            <w:tcW w:w="2988" w:type="dxa"/>
          </w:tcPr>
          <w:p w14:paraId="266AB279" w14:textId="77777777" w:rsidR="00745022" w:rsidRDefault="00745022" w:rsidP="00B33EBC">
            <w:r>
              <w:t>420 Shares of Vanguard mutual fund</w:t>
            </w:r>
          </w:p>
        </w:tc>
        <w:tc>
          <w:tcPr>
            <w:tcW w:w="1507" w:type="dxa"/>
          </w:tcPr>
          <w:p w14:paraId="664D9ADB" w14:textId="77777777" w:rsidR="00745022" w:rsidRDefault="00745022" w:rsidP="004621A7">
            <w:pPr>
              <w:ind w:right="108"/>
              <w:jc w:val="right"/>
            </w:pPr>
          </w:p>
          <w:p w14:paraId="4A3AA7AA" w14:textId="389A1D2C" w:rsidR="00745022" w:rsidRDefault="00745022">
            <w:pPr>
              <w:ind w:right="108"/>
              <w:jc w:val="right"/>
            </w:pPr>
            <w:r>
              <w:t>3/2/</w:t>
            </w:r>
            <w:r w:rsidR="00A10725">
              <w:t>2018</w:t>
            </w:r>
          </w:p>
        </w:tc>
        <w:tc>
          <w:tcPr>
            <w:tcW w:w="1254" w:type="dxa"/>
          </w:tcPr>
          <w:p w14:paraId="473EF202" w14:textId="77777777" w:rsidR="00745022" w:rsidRDefault="00745022" w:rsidP="00B33EBC">
            <w:pPr>
              <w:jc w:val="right"/>
            </w:pPr>
          </w:p>
          <w:p w14:paraId="54D71AFB" w14:textId="77777777" w:rsidR="00745022" w:rsidRDefault="00745022" w:rsidP="00B33EBC">
            <w:pPr>
              <w:jc w:val="right"/>
            </w:pPr>
            <w:r>
              <w:t>$14,700</w:t>
            </w:r>
          </w:p>
        </w:tc>
        <w:tc>
          <w:tcPr>
            <w:tcW w:w="1662" w:type="dxa"/>
          </w:tcPr>
          <w:p w14:paraId="5B32EA5F" w14:textId="77777777" w:rsidR="00745022" w:rsidRDefault="00745022" w:rsidP="00B33EBC">
            <w:pPr>
              <w:jc w:val="center"/>
            </w:pPr>
          </w:p>
          <w:p w14:paraId="4B561A86" w14:textId="77777777" w:rsidR="00745022" w:rsidRDefault="00745022" w:rsidP="00B33EBC">
            <w:pPr>
              <w:jc w:val="center"/>
            </w:pPr>
            <w:r>
              <w:t>No load fund*</w:t>
            </w:r>
          </w:p>
        </w:tc>
      </w:tr>
    </w:tbl>
    <w:p w14:paraId="77881C5D" w14:textId="77777777" w:rsidR="00745022" w:rsidRDefault="00745022" w:rsidP="00152FB7">
      <w:pPr>
        <w:spacing w:line="360" w:lineRule="auto"/>
      </w:pPr>
      <w:r>
        <w:tab/>
        <w:t>*No commissions are charged when no load mutual funds are bought and sold.</w:t>
      </w:r>
    </w:p>
    <w:p w14:paraId="3BB51B3D" w14:textId="749BB7E9" w:rsidR="00745022" w:rsidRDefault="00745022" w:rsidP="007E4FCB">
      <w:pPr>
        <w:ind w:left="360"/>
      </w:pPr>
      <w:r>
        <w:t xml:space="preserve">Because of the downturn in the stock market, Mr. and Mrs. Howell decided to sell most of their stocks and mutual fund in </w:t>
      </w:r>
      <w:r w:rsidR="00A10725">
        <w:t xml:space="preserve">2018 </w:t>
      </w:r>
      <w:r>
        <w:t xml:space="preserve">and to reinvest in municipal bonds. The following investment assets were sold in </w:t>
      </w:r>
      <w:r w:rsidR="00A10725">
        <w:t>2018</w:t>
      </w:r>
      <w:r>
        <w:t>:</w:t>
      </w:r>
    </w:p>
    <w:p w14:paraId="70B70C7B" w14:textId="77777777" w:rsidR="006E1787" w:rsidRDefault="006E1787" w:rsidP="007E4FCB">
      <w:pPr>
        <w:ind w:left="360"/>
      </w:pPr>
    </w:p>
    <w:p w14:paraId="3966B768" w14:textId="77777777" w:rsidR="00745022" w:rsidRDefault="00745022" w:rsidP="00C0466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1260"/>
        <w:gridCol w:w="1224"/>
        <w:gridCol w:w="2263"/>
      </w:tblGrid>
      <w:tr w:rsidR="00745022" w14:paraId="069360DB" w14:textId="77777777" w:rsidTr="006E1787">
        <w:trPr>
          <w:jc w:val="center"/>
        </w:trPr>
        <w:tc>
          <w:tcPr>
            <w:tcW w:w="2988" w:type="dxa"/>
          </w:tcPr>
          <w:p w14:paraId="3496D9D6" w14:textId="77777777" w:rsidR="00745022" w:rsidRDefault="00745022" w:rsidP="00B33EBC">
            <w:pPr>
              <w:jc w:val="center"/>
              <w:rPr>
                <w:b/>
              </w:rPr>
            </w:pPr>
            <w:r>
              <w:rPr>
                <w:b/>
              </w:rPr>
              <w:t>Investment Assets</w:t>
            </w:r>
          </w:p>
        </w:tc>
        <w:tc>
          <w:tcPr>
            <w:tcW w:w="1260" w:type="dxa"/>
          </w:tcPr>
          <w:p w14:paraId="1A2FC468" w14:textId="77777777" w:rsidR="00745022" w:rsidRDefault="00745022" w:rsidP="00B33EBC">
            <w:pPr>
              <w:jc w:val="center"/>
              <w:rPr>
                <w:b/>
              </w:rPr>
            </w:pPr>
            <w:r>
              <w:rPr>
                <w:b/>
              </w:rPr>
              <w:t>Date Sold</w:t>
            </w:r>
          </w:p>
        </w:tc>
        <w:tc>
          <w:tcPr>
            <w:tcW w:w="1224" w:type="dxa"/>
          </w:tcPr>
          <w:p w14:paraId="358E7F35" w14:textId="77777777" w:rsidR="00745022" w:rsidRDefault="00745022" w:rsidP="00B33EBC">
            <w:pPr>
              <w:jc w:val="center"/>
              <w:rPr>
                <w:b/>
              </w:rPr>
            </w:pPr>
            <w:r>
              <w:rPr>
                <w:b/>
              </w:rPr>
              <w:t>Sale Price</w:t>
            </w:r>
          </w:p>
        </w:tc>
        <w:tc>
          <w:tcPr>
            <w:tcW w:w="2263" w:type="dxa"/>
          </w:tcPr>
          <w:p w14:paraId="36B2DB49" w14:textId="5DFC4EA8" w:rsidR="00745022" w:rsidRDefault="00745022" w:rsidP="00B33EBC">
            <w:pPr>
              <w:jc w:val="center"/>
              <w:rPr>
                <w:b/>
              </w:rPr>
            </w:pPr>
            <w:r>
              <w:rPr>
                <w:b/>
              </w:rPr>
              <w:t>Broker’s Commission Paid at Time of Sale</w:t>
            </w:r>
          </w:p>
        </w:tc>
      </w:tr>
      <w:tr w:rsidR="00745022" w14:paraId="09DF61D3" w14:textId="77777777" w:rsidTr="006E1787">
        <w:trPr>
          <w:jc w:val="center"/>
        </w:trPr>
        <w:tc>
          <w:tcPr>
            <w:tcW w:w="2988" w:type="dxa"/>
          </w:tcPr>
          <w:p w14:paraId="5EF76329" w14:textId="77777777" w:rsidR="00745022" w:rsidRDefault="00745022" w:rsidP="00B33EBC">
            <w:r>
              <w:t>300 shares of IBM common</w:t>
            </w:r>
          </w:p>
        </w:tc>
        <w:tc>
          <w:tcPr>
            <w:tcW w:w="1260" w:type="dxa"/>
          </w:tcPr>
          <w:p w14:paraId="53A3FF2C" w14:textId="4F3FB73B" w:rsidR="00745022" w:rsidRDefault="00745022">
            <w:pPr>
              <w:jc w:val="center"/>
            </w:pPr>
            <w:r>
              <w:t>5/6</w:t>
            </w:r>
          </w:p>
        </w:tc>
        <w:tc>
          <w:tcPr>
            <w:tcW w:w="1224" w:type="dxa"/>
          </w:tcPr>
          <w:p w14:paraId="55812EAC" w14:textId="77777777" w:rsidR="00745022" w:rsidRDefault="00745022" w:rsidP="00B33EBC">
            <w:pPr>
              <w:jc w:val="right"/>
            </w:pPr>
            <w:r>
              <w:t>$13,700</w:t>
            </w:r>
          </w:p>
        </w:tc>
        <w:tc>
          <w:tcPr>
            <w:tcW w:w="2263" w:type="dxa"/>
          </w:tcPr>
          <w:p w14:paraId="57E867B5" w14:textId="77777777" w:rsidR="00745022" w:rsidRDefault="00745022" w:rsidP="00B33EBC">
            <w:pPr>
              <w:jc w:val="right"/>
            </w:pPr>
            <w:r>
              <w:t>$100</w:t>
            </w:r>
          </w:p>
        </w:tc>
      </w:tr>
      <w:tr w:rsidR="00745022" w14:paraId="7BD4117F" w14:textId="77777777" w:rsidTr="006E1787">
        <w:trPr>
          <w:jc w:val="center"/>
        </w:trPr>
        <w:tc>
          <w:tcPr>
            <w:tcW w:w="2988" w:type="dxa"/>
          </w:tcPr>
          <w:p w14:paraId="59B891AD" w14:textId="77777777" w:rsidR="00745022" w:rsidRDefault="00745022" w:rsidP="00B33EBC">
            <w:r>
              <w:t>3,000 shares of Apple preferred</w:t>
            </w:r>
          </w:p>
        </w:tc>
        <w:tc>
          <w:tcPr>
            <w:tcW w:w="1260" w:type="dxa"/>
          </w:tcPr>
          <w:p w14:paraId="18B97244" w14:textId="77777777" w:rsidR="00745022" w:rsidRDefault="00745022" w:rsidP="00B33EBC">
            <w:pPr>
              <w:jc w:val="center"/>
            </w:pPr>
          </w:p>
          <w:p w14:paraId="1D615B12" w14:textId="7566365A" w:rsidR="00745022" w:rsidRDefault="00745022">
            <w:pPr>
              <w:jc w:val="center"/>
            </w:pPr>
            <w:r>
              <w:t>10/5</w:t>
            </w:r>
          </w:p>
        </w:tc>
        <w:tc>
          <w:tcPr>
            <w:tcW w:w="1224" w:type="dxa"/>
          </w:tcPr>
          <w:p w14:paraId="3AEF7624" w14:textId="77777777" w:rsidR="00745022" w:rsidRDefault="00745022" w:rsidP="00B33EBC">
            <w:pPr>
              <w:jc w:val="right"/>
            </w:pPr>
          </w:p>
          <w:p w14:paraId="0F940A30" w14:textId="77777777" w:rsidR="00745022" w:rsidRDefault="00745022" w:rsidP="00B33EBC">
            <w:pPr>
              <w:jc w:val="right"/>
            </w:pPr>
            <w:r>
              <w:t>$221,400</w:t>
            </w:r>
          </w:p>
        </w:tc>
        <w:tc>
          <w:tcPr>
            <w:tcW w:w="2263" w:type="dxa"/>
          </w:tcPr>
          <w:p w14:paraId="3D579560" w14:textId="77777777" w:rsidR="00745022" w:rsidRDefault="00745022" w:rsidP="00B33EBC">
            <w:pPr>
              <w:jc w:val="right"/>
            </w:pPr>
          </w:p>
          <w:p w14:paraId="640A57B8" w14:textId="77777777" w:rsidR="00745022" w:rsidRDefault="00745022" w:rsidP="00B33EBC">
            <w:pPr>
              <w:jc w:val="right"/>
            </w:pPr>
            <w:r>
              <w:t>$2,000</w:t>
            </w:r>
          </w:p>
        </w:tc>
      </w:tr>
      <w:tr w:rsidR="00745022" w14:paraId="0457791A" w14:textId="77777777" w:rsidTr="006E1787">
        <w:trPr>
          <w:jc w:val="center"/>
        </w:trPr>
        <w:tc>
          <w:tcPr>
            <w:tcW w:w="2988" w:type="dxa"/>
          </w:tcPr>
          <w:p w14:paraId="11B0254F" w14:textId="77777777" w:rsidR="00745022" w:rsidRDefault="00745022" w:rsidP="00B33EBC">
            <w:r>
              <w:t>2,100 shares of  Cisco common</w:t>
            </w:r>
          </w:p>
        </w:tc>
        <w:tc>
          <w:tcPr>
            <w:tcW w:w="1260" w:type="dxa"/>
          </w:tcPr>
          <w:p w14:paraId="2D93F808" w14:textId="77777777" w:rsidR="00745022" w:rsidRDefault="00745022" w:rsidP="00B33EBC">
            <w:pPr>
              <w:jc w:val="center"/>
            </w:pPr>
          </w:p>
          <w:p w14:paraId="209F0474" w14:textId="4B80877A" w:rsidR="00745022" w:rsidRDefault="00745022">
            <w:pPr>
              <w:jc w:val="center"/>
            </w:pPr>
            <w:r>
              <w:t>8/15</w:t>
            </w:r>
          </w:p>
        </w:tc>
        <w:tc>
          <w:tcPr>
            <w:tcW w:w="1224" w:type="dxa"/>
          </w:tcPr>
          <w:p w14:paraId="0F7A9CCD" w14:textId="77777777" w:rsidR="00745022" w:rsidRDefault="00745022" w:rsidP="00B33EBC">
            <w:pPr>
              <w:jc w:val="right"/>
            </w:pPr>
          </w:p>
          <w:p w14:paraId="6DDE22F6" w14:textId="77777777" w:rsidR="00745022" w:rsidRDefault="00745022" w:rsidP="00B33EBC">
            <w:pPr>
              <w:jc w:val="right"/>
            </w:pPr>
            <w:r>
              <w:t>$63,250</w:t>
            </w:r>
          </w:p>
        </w:tc>
        <w:tc>
          <w:tcPr>
            <w:tcW w:w="2263" w:type="dxa"/>
          </w:tcPr>
          <w:p w14:paraId="7DF023EF" w14:textId="77777777" w:rsidR="00745022" w:rsidRDefault="00745022" w:rsidP="00B33EBC">
            <w:pPr>
              <w:jc w:val="right"/>
            </w:pPr>
          </w:p>
          <w:p w14:paraId="009F8FAC" w14:textId="77777777" w:rsidR="00745022" w:rsidRDefault="00745022" w:rsidP="00B33EBC">
            <w:pPr>
              <w:jc w:val="right"/>
            </w:pPr>
            <w:r>
              <w:t>$650</w:t>
            </w:r>
          </w:p>
        </w:tc>
      </w:tr>
      <w:tr w:rsidR="00745022" w14:paraId="73CED097" w14:textId="77777777" w:rsidTr="006E1787">
        <w:trPr>
          <w:jc w:val="center"/>
        </w:trPr>
        <w:tc>
          <w:tcPr>
            <w:tcW w:w="2988" w:type="dxa"/>
          </w:tcPr>
          <w:p w14:paraId="2ACD9617" w14:textId="77777777" w:rsidR="00745022" w:rsidRDefault="00745022" w:rsidP="00B33EBC">
            <w:r>
              <w:t>451 Shares of Vanguard mutual fund</w:t>
            </w:r>
          </w:p>
        </w:tc>
        <w:tc>
          <w:tcPr>
            <w:tcW w:w="1260" w:type="dxa"/>
          </w:tcPr>
          <w:p w14:paraId="2C03C5CF" w14:textId="77777777" w:rsidR="00745022" w:rsidRDefault="00745022" w:rsidP="00B33EBC">
            <w:pPr>
              <w:jc w:val="center"/>
            </w:pPr>
          </w:p>
          <w:p w14:paraId="27C85B66" w14:textId="78EC5099" w:rsidR="00745022" w:rsidRDefault="00745022">
            <w:pPr>
              <w:jc w:val="center"/>
            </w:pPr>
            <w:r>
              <w:t>12/21</w:t>
            </w:r>
          </w:p>
        </w:tc>
        <w:tc>
          <w:tcPr>
            <w:tcW w:w="1224" w:type="dxa"/>
          </w:tcPr>
          <w:p w14:paraId="4C6714EF" w14:textId="77777777" w:rsidR="00745022" w:rsidRDefault="00745022" w:rsidP="00B33EBC">
            <w:pPr>
              <w:jc w:val="right"/>
            </w:pPr>
          </w:p>
          <w:p w14:paraId="299AF1D9" w14:textId="77777777" w:rsidR="00745022" w:rsidRDefault="00745022" w:rsidP="00B33EBC">
            <w:pPr>
              <w:jc w:val="right"/>
            </w:pPr>
            <w:r>
              <w:t>$15,700</w:t>
            </w:r>
          </w:p>
        </w:tc>
        <w:tc>
          <w:tcPr>
            <w:tcW w:w="2263" w:type="dxa"/>
          </w:tcPr>
          <w:p w14:paraId="383CEBE6" w14:textId="77777777" w:rsidR="00745022" w:rsidRDefault="00745022" w:rsidP="00B33EBC">
            <w:pPr>
              <w:jc w:val="center"/>
            </w:pPr>
          </w:p>
          <w:p w14:paraId="143296C5" w14:textId="77777777" w:rsidR="00745022" w:rsidRDefault="00745022" w:rsidP="00B33EBC">
            <w:pPr>
              <w:jc w:val="center"/>
            </w:pPr>
            <w:r>
              <w:t>No load fund*</w:t>
            </w:r>
          </w:p>
        </w:tc>
      </w:tr>
    </w:tbl>
    <w:p w14:paraId="60252691" w14:textId="77777777" w:rsidR="00745022" w:rsidRDefault="00745022" w:rsidP="00EA68FF">
      <w:pPr>
        <w:ind w:firstLine="720"/>
      </w:pPr>
      <w:r>
        <w:t>*No commissions are charged when no load mutual funds are bought and sold.</w:t>
      </w:r>
    </w:p>
    <w:p w14:paraId="0C45704E" w14:textId="77777777" w:rsidR="00745022" w:rsidRDefault="00745022" w:rsidP="00EA68FF"/>
    <w:p w14:paraId="5EF21BD4" w14:textId="5726666D" w:rsidR="00745022" w:rsidRDefault="00745022" w:rsidP="00EA68FF">
      <w:pPr>
        <w:ind w:left="360"/>
      </w:pPr>
      <w:r>
        <w:t>The Howells’ broker issued them a Form 1099</w:t>
      </w:r>
      <w:r w:rsidR="0027550D">
        <w:t>-B</w:t>
      </w:r>
      <w:r>
        <w:t xml:space="preserve"> showing the sales proceeds net of the commissions paid</w:t>
      </w:r>
      <w:r w:rsidR="000C1A4C">
        <w:t xml:space="preserve">. </w:t>
      </w:r>
      <w:r>
        <w:t>For example, the IBM sales proceeds were reported as $13,600 on the Form 1099</w:t>
      </w:r>
      <w:r w:rsidR="0027550D">
        <w:t>-B</w:t>
      </w:r>
      <w:r>
        <w:t xml:space="preserve"> they received.</w:t>
      </w:r>
    </w:p>
    <w:p w14:paraId="09227666" w14:textId="77777777" w:rsidR="00745022" w:rsidRDefault="00745022" w:rsidP="00EA68FF">
      <w:pPr>
        <w:ind w:left="360"/>
      </w:pPr>
    </w:p>
    <w:p w14:paraId="0A24ED7E" w14:textId="607516CF" w:rsidR="00745022" w:rsidRDefault="00745022" w:rsidP="00EA68FF">
      <w:pPr>
        <w:ind w:left="360"/>
      </w:pPr>
      <w:r>
        <w:t xml:space="preserve">In addition to the sales reflected in the table above, the Howells provided you with the following additional information concerning </w:t>
      </w:r>
      <w:r w:rsidR="00A10725">
        <w:t>2018</w:t>
      </w:r>
      <w:r>
        <w:t>:</w:t>
      </w:r>
    </w:p>
    <w:p w14:paraId="45B7A45C" w14:textId="14BD54E0" w:rsidR="00745022" w:rsidRDefault="00745022" w:rsidP="006E1787">
      <w:pPr>
        <w:numPr>
          <w:ilvl w:val="0"/>
          <w:numId w:val="8"/>
        </w:numPr>
        <w:spacing w:before="120"/>
      </w:pPr>
      <w:r>
        <w:t>The Howell</w:t>
      </w:r>
      <w:r w:rsidRPr="008D333E">
        <w:t>s</w:t>
      </w:r>
      <w:r>
        <w:t xml:space="preserve"> received a Form 1099</w:t>
      </w:r>
      <w:r w:rsidR="0027550D">
        <w:t>-B</w:t>
      </w:r>
      <w:r>
        <w:t xml:space="preserve"> from the Vanguard mutual fund reporting a $900 long-term capital gain distribution</w:t>
      </w:r>
      <w:r w:rsidR="000C1A4C">
        <w:t xml:space="preserve">. </w:t>
      </w:r>
      <w:r>
        <w:t>This distribution was reinvested in 31 additional Vanguard mutual fund shares on 6/30/</w:t>
      </w:r>
      <w:r w:rsidR="00A10725">
        <w:t>2018</w:t>
      </w:r>
      <w:r>
        <w:t>.</w:t>
      </w:r>
    </w:p>
    <w:p w14:paraId="31292FFE" w14:textId="0D5244B6" w:rsidR="00745022" w:rsidRDefault="00745022" w:rsidP="006E1787">
      <w:pPr>
        <w:numPr>
          <w:ilvl w:val="0"/>
          <w:numId w:val="8"/>
        </w:numPr>
        <w:spacing w:before="120"/>
      </w:pPr>
      <w:r>
        <w:t xml:space="preserve">In </w:t>
      </w:r>
      <w:r w:rsidR="00A10725">
        <w:t>2013</w:t>
      </w:r>
      <w:r>
        <w:t xml:space="preserve">, Mrs. Howell loaned $6,000 to a friend who was starting a new multilevel marketing company called LD3. The friend declared bankruptcy in </w:t>
      </w:r>
      <w:r w:rsidR="00C21F2D">
        <w:t>2018</w:t>
      </w:r>
      <w:r>
        <w:t>, and Mrs. Howell has been notified that she will not be receiving any repayment of the loan.</w:t>
      </w:r>
    </w:p>
    <w:p w14:paraId="1423038F" w14:textId="77777777" w:rsidR="00745022" w:rsidRDefault="00745022" w:rsidP="006E1787">
      <w:pPr>
        <w:numPr>
          <w:ilvl w:val="0"/>
          <w:numId w:val="8"/>
        </w:numPr>
        <w:spacing w:before="120"/>
      </w:pPr>
      <w:r>
        <w:t>The Howells have a $2,300 short-term capital loss carryover and a $4,800 long-term capital loss carryover from prior years.</w:t>
      </w:r>
    </w:p>
    <w:p w14:paraId="1E4C4816" w14:textId="77777777" w:rsidR="00745022" w:rsidRDefault="00745022" w:rsidP="006E1787">
      <w:pPr>
        <w:numPr>
          <w:ilvl w:val="0"/>
          <w:numId w:val="8"/>
        </w:numPr>
        <w:spacing w:before="120"/>
      </w:pPr>
      <w:r>
        <w:t>The Howells did not instruct their broker to sell any particular lot of IBM stock.</w:t>
      </w:r>
    </w:p>
    <w:p w14:paraId="6F76443D" w14:textId="77777777" w:rsidR="00745022" w:rsidRDefault="00745022" w:rsidP="006E1787">
      <w:pPr>
        <w:numPr>
          <w:ilvl w:val="0"/>
          <w:numId w:val="8"/>
        </w:numPr>
        <w:spacing w:before="120"/>
      </w:pPr>
      <w:r>
        <w:t>The Howells earned $3,000 in municipal bond interest, $3,000 in interest from corporate bonds, and $4,000 in qualified dividends.</w:t>
      </w:r>
    </w:p>
    <w:p w14:paraId="2724C69B" w14:textId="77777777" w:rsidR="00745022" w:rsidRDefault="00745022" w:rsidP="006E1787">
      <w:pPr>
        <w:numPr>
          <w:ilvl w:val="0"/>
          <w:numId w:val="8"/>
        </w:numPr>
        <w:spacing w:before="120"/>
      </w:pPr>
      <w:r>
        <w:t>Assume the Howells have $130,000 of wage income during the year.</w:t>
      </w:r>
    </w:p>
    <w:p w14:paraId="48E3F842" w14:textId="77777777" w:rsidR="00745022" w:rsidRDefault="00745022" w:rsidP="00C04668"/>
    <w:p w14:paraId="6CB7CE8C" w14:textId="61133931" w:rsidR="00745022" w:rsidRDefault="00745022" w:rsidP="004621A7">
      <w:pPr>
        <w:ind w:left="720" w:hanging="360"/>
      </w:pPr>
      <w:r>
        <w:t xml:space="preserve">a. </w:t>
      </w:r>
      <w:r w:rsidR="004621A7">
        <w:tab/>
      </w:r>
      <w:r>
        <w:t>Go to the IRS web site (</w:t>
      </w:r>
      <w:hyperlink r:id="rId9" w:history="1">
        <w:r>
          <w:rPr>
            <w:rStyle w:val="Hyperlink"/>
          </w:rPr>
          <w:t>www.IRS.gov</w:t>
        </w:r>
      </w:hyperlink>
      <w:r>
        <w:t xml:space="preserve">) and download </w:t>
      </w:r>
      <w:r w:rsidRPr="008D333E">
        <w:t>the most current version of</w:t>
      </w:r>
      <w:r>
        <w:t xml:space="preserve"> </w:t>
      </w:r>
      <w:r w:rsidR="0077030C">
        <w:t xml:space="preserve">Form 8949 and </w:t>
      </w:r>
      <w:r>
        <w:t>Schedule D</w:t>
      </w:r>
      <w:r w:rsidR="000C1A4C">
        <w:t xml:space="preserve">. </w:t>
      </w:r>
      <w:r>
        <w:t xml:space="preserve">Use </w:t>
      </w:r>
      <w:r w:rsidR="0077030C">
        <w:t xml:space="preserve">Form 8949 and </w:t>
      </w:r>
      <w:r>
        <w:t>page 1 of Schedule D to compute net long-term and short-term capital gains. Then, compute the Howells’ tax liability for the year (ignoring the alternative minimum tax and any phase-out provisions) assuming they file a joint return, they have no dependents, they don’t make any special tax elections, and their itemized deductions total $25,000.</w:t>
      </w:r>
      <w:r w:rsidR="0077030C">
        <w:t xml:space="preserve"> Assume that asset bases are reported to the IRS.</w:t>
      </w:r>
    </w:p>
    <w:p w14:paraId="627BB124" w14:textId="77777777" w:rsidR="00E35091" w:rsidRDefault="00E35091" w:rsidP="00E35091">
      <w:pPr>
        <w:ind w:left="720" w:hanging="360"/>
      </w:pPr>
      <w:r>
        <w:t xml:space="preserve">b. </w:t>
      </w:r>
      <w:r>
        <w:tab/>
        <w:t>Are there any tax planning recommendations related to the stock sales that you should have shared with the Howells before their decision to sell?</w:t>
      </w:r>
    </w:p>
    <w:p w14:paraId="3E479BA7" w14:textId="3BDDBE87" w:rsidR="00E35091" w:rsidRDefault="00E35091" w:rsidP="00E35091">
      <w:pPr>
        <w:ind w:left="720" w:hanging="360"/>
      </w:pPr>
      <w:r>
        <w:t xml:space="preserve">c. </w:t>
      </w:r>
      <w:r>
        <w:tab/>
        <w:t xml:space="preserve">Assume the Howells’ short-term capital loss carryover from prior years is $82,300 rather than $2,300 as indicated above. If this is the case, how much short-term and long-term capital loss carryover remains to be carried beyond </w:t>
      </w:r>
      <w:r w:rsidR="00C21F2D">
        <w:t xml:space="preserve">2018 </w:t>
      </w:r>
      <w:r>
        <w:t>to future tax years?</w:t>
      </w:r>
    </w:p>
    <w:p w14:paraId="5C2B2CE2" w14:textId="60CF664E" w:rsidR="00745022" w:rsidRPr="00E35091" w:rsidRDefault="00745022" w:rsidP="00C04668">
      <w:pPr>
        <w:ind w:left="360"/>
        <w:rPr>
          <w:b/>
        </w:rPr>
      </w:pPr>
    </w:p>
    <w:p w14:paraId="7F65C46C" w14:textId="48EA73BA" w:rsidR="00745022" w:rsidRDefault="00E35091" w:rsidP="0077030C">
      <w:pPr>
        <w:tabs>
          <w:tab w:val="left" w:pos="720"/>
        </w:tabs>
        <w:ind w:left="720" w:hanging="360"/>
      </w:pPr>
      <w:r w:rsidRPr="00805DFB">
        <w:rPr>
          <w:i/>
        </w:rPr>
        <w:t>a.</w:t>
      </w:r>
      <w:r w:rsidRPr="00805DFB">
        <w:rPr>
          <w:i/>
        </w:rPr>
        <w:tab/>
      </w:r>
      <w:r w:rsidR="00745022" w:rsidRPr="00805DFB">
        <w:rPr>
          <w:i/>
        </w:rPr>
        <w:t xml:space="preserve">The Howell’s </w:t>
      </w:r>
      <w:r w:rsidR="0077030C" w:rsidRPr="00805DFB">
        <w:rPr>
          <w:i/>
        </w:rPr>
        <w:t xml:space="preserve">Form 8949 and </w:t>
      </w:r>
      <w:r w:rsidR="00745022" w:rsidRPr="00805DFB">
        <w:rPr>
          <w:i/>
        </w:rPr>
        <w:t>Schedule D for the year would be completed as</w:t>
      </w:r>
      <w:r w:rsidR="00745022" w:rsidRPr="00C45137">
        <w:rPr>
          <w:i/>
        </w:rPr>
        <w:t xml:space="preserve"> follows</w:t>
      </w:r>
      <w:r w:rsidR="00491B20" w:rsidRPr="00C45137">
        <w:t>:</w:t>
      </w:r>
    </w:p>
    <w:p w14:paraId="272DE522" w14:textId="62D67DBC" w:rsidR="00624757" w:rsidRPr="00511D8D" w:rsidRDefault="00624757" w:rsidP="0077030C">
      <w:pPr>
        <w:tabs>
          <w:tab w:val="left" w:pos="720"/>
        </w:tabs>
        <w:ind w:left="720" w:hanging="360"/>
        <w:rPr>
          <w:color w:val="FF0000"/>
        </w:rPr>
      </w:pPr>
    </w:p>
    <w:p w14:paraId="2CD9C232" w14:textId="24E30A40" w:rsidR="000F3AF4" w:rsidRDefault="00600D0F" w:rsidP="00121C63">
      <w:r w:rsidRPr="00600D0F">
        <w:rPr>
          <w:noProof/>
        </w:rPr>
        <w:drawing>
          <wp:inline distT="0" distB="0" distL="0" distR="0" wp14:anchorId="65CA971D" wp14:editId="2CF4B0FE">
            <wp:extent cx="5805606" cy="7545788"/>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10" cy="7551772"/>
                    </a:xfrm>
                    <a:prstGeom prst="rect">
                      <a:avLst/>
                    </a:prstGeom>
                    <a:noFill/>
                    <a:ln>
                      <a:noFill/>
                    </a:ln>
                  </pic:spPr>
                </pic:pic>
              </a:graphicData>
            </a:graphic>
          </wp:inline>
        </w:drawing>
      </w:r>
    </w:p>
    <w:p w14:paraId="7D344C21" w14:textId="77777777" w:rsidR="00EF7C8D" w:rsidRDefault="00EF7C8D" w:rsidP="00121C63">
      <w:pPr>
        <w:rPr>
          <w:noProof/>
        </w:rPr>
      </w:pPr>
    </w:p>
    <w:p w14:paraId="2B2AF649" w14:textId="124E9234" w:rsidR="001F4A57" w:rsidRDefault="00EF7C8D" w:rsidP="00121C63">
      <w:r w:rsidRPr="00EF7C8D">
        <w:rPr>
          <w:noProof/>
        </w:rPr>
        <w:drawing>
          <wp:inline distT="0" distB="0" distL="0" distR="0" wp14:anchorId="43E978E3" wp14:editId="764FCCE3">
            <wp:extent cx="6013180" cy="7498080"/>
            <wp:effectExtent l="0" t="0" r="698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18169" cy="7504301"/>
                    </a:xfrm>
                    <a:prstGeom prst="rect">
                      <a:avLst/>
                    </a:prstGeom>
                    <a:noFill/>
                    <a:ln>
                      <a:noFill/>
                    </a:ln>
                  </pic:spPr>
                </pic:pic>
              </a:graphicData>
            </a:graphic>
          </wp:inline>
        </w:drawing>
      </w:r>
    </w:p>
    <w:p w14:paraId="2A3710D5" w14:textId="77777777" w:rsidR="001F4A57" w:rsidRDefault="001F4A57" w:rsidP="00121C63"/>
    <w:p w14:paraId="1D8D8BB4" w14:textId="0CF6AA0F" w:rsidR="00745022" w:rsidRDefault="00600D0F" w:rsidP="00121C63">
      <w:r w:rsidRPr="00600D0F">
        <w:rPr>
          <w:noProof/>
        </w:rPr>
        <w:drawing>
          <wp:inline distT="0" distB="0" distL="0" distR="0" wp14:anchorId="45B1DE9A" wp14:editId="26EDE913">
            <wp:extent cx="6082567" cy="7752522"/>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87006" cy="7758180"/>
                    </a:xfrm>
                    <a:prstGeom prst="rect">
                      <a:avLst/>
                    </a:prstGeom>
                    <a:noFill/>
                    <a:ln>
                      <a:noFill/>
                    </a:ln>
                  </pic:spPr>
                </pic:pic>
              </a:graphicData>
            </a:graphic>
          </wp:inline>
        </w:drawing>
      </w:r>
      <w:r w:rsidR="00745022">
        <w:br w:type="page"/>
      </w:r>
    </w:p>
    <w:p w14:paraId="5A354770" w14:textId="77777777" w:rsidR="00745022" w:rsidRPr="00121C63" w:rsidRDefault="00745022" w:rsidP="00121C63">
      <w:pPr>
        <w:ind w:left="360"/>
        <w:rPr>
          <w:i/>
        </w:rPr>
      </w:pPr>
      <w:r w:rsidRPr="00121C63">
        <w:rPr>
          <w:i/>
        </w:rPr>
        <w:t>The Howell’s net capital gain is then included with their other income for the year in calculating their final tax liability for the year.</w:t>
      </w:r>
    </w:p>
    <w:p w14:paraId="490285BA" w14:textId="77777777" w:rsidR="00745022" w:rsidRPr="00121C63" w:rsidRDefault="00745022" w:rsidP="00121C63">
      <w:pPr>
        <w:ind w:left="360"/>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1716"/>
        <w:gridCol w:w="3120"/>
      </w:tblGrid>
      <w:tr w:rsidR="00745022" w:rsidRPr="000A6D89" w14:paraId="2EB0D2B7" w14:textId="77777777" w:rsidTr="000A6D89">
        <w:trPr>
          <w:jc w:val="center"/>
        </w:trPr>
        <w:tc>
          <w:tcPr>
            <w:tcW w:w="2844" w:type="dxa"/>
          </w:tcPr>
          <w:p w14:paraId="00D11BF2" w14:textId="77777777" w:rsidR="00745022" w:rsidRPr="000A6D89" w:rsidRDefault="00745022" w:rsidP="000A6D89">
            <w:pPr>
              <w:ind w:left="360"/>
              <w:jc w:val="center"/>
              <w:rPr>
                <w:i/>
              </w:rPr>
            </w:pPr>
            <w:r w:rsidRPr="000A6D89">
              <w:rPr>
                <w:i/>
              </w:rPr>
              <w:t>Description</w:t>
            </w:r>
          </w:p>
        </w:tc>
        <w:tc>
          <w:tcPr>
            <w:tcW w:w="1596" w:type="dxa"/>
          </w:tcPr>
          <w:p w14:paraId="7129D18D" w14:textId="77777777" w:rsidR="00745022" w:rsidRPr="000A6D89" w:rsidRDefault="00745022" w:rsidP="000A6D89">
            <w:pPr>
              <w:ind w:left="360"/>
              <w:jc w:val="center"/>
              <w:rPr>
                <w:i/>
              </w:rPr>
            </w:pPr>
            <w:r w:rsidRPr="000A6D89">
              <w:rPr>
                <w:i/>
              </w:rPr>
              <w:t>Amount</w:t>
            </w:r>
          </w:p>
        </w:tc>
        <w:tc>
          <w:tcPr>
            <w:tcW w:w="3120" w:type="dxa"/>
          </w:tcPr>
          <w:p w14:paraId="6C5908BB" w14:textId="77777777" w:rsidR="00745022" w:rsidRPr="000A6D89" w:rsidRDefault="00745022" w:rsidP="000A6D89">
            <w:pPr>
              <w:ind w:left="360"/>
              <w:jc w:val="center"/>
              <w:rPr>
                <w:i/>
              </w:rPr>
            </w:pPr>
            <w:r w:rsidRPr="000A6D89">
              <w:rPr>
                <w:i/>
              </w:rPr>
              <w:t>Explanation</w:t>
            </w:r>
          </w:p>
        </w:tc>
      </w:tr>
      <w:tr w:rsidR="00745022" w:rsidRPr="000A6D89" w14:paraId="15CF356D" w14:textId="77777777" w:rsidTr="000A6D89">
        <w:trPr>
          <w:jc w:val="center"/>
        </w:trPr>
        <w:tc>
          <w:tcPr>
            <w:tcW w:w="2844" w:type="dxa"/>
          </w:tcPr>
          <w:p w14:paraId="509075CB" w14:textId="77777777" w:rsidR="00745022" w:rsidRPr="000A6D89" w:rsidRDefault="00745022" w:rsidP="000A6D89">
            <w:pPr>
              <w:ind w:left="360"/>
              <w:rPr>
                <w:i/>
              </w:rPr>
            </w:pPr>
            <w:r w:rsidRPr="000A6D89">
              <w:rPr>
                <w:i/>
              </w:rPr>
              <w:t>Wage Income</w:t>
            </w:r>
          </w:p>
        </w:tc>
        <w:tc>
          <w:tcPr>
            <w:tcW w:w="1596" w:type="dxa"/>
          </w:tcPr>
          <w:p w14:paraId="5103D93E" w14:textId="77777777" w:rsidR="00745022" w:rsidRPr="000A6D89" w:rsidRDefault="00745022" w:rsidP="000A6D89">
            <w:pPr>
              <w:ind w:left="360"/>
              <w:jc w:val="right"/>
              <w:rPr>
                <w:i/>
              </w:rPr>
            </w:pPr>
            <w:r w:rsidRPr="000A6D89">
              <w:rPr>
                <w:i/>
              </w:rPr>
              <w:t>130,000</w:t>
            </w:r>
          </w:p>
        </w:tc>
        <w:tc>
          <w:tcPr>
            <w:tcW w:w="3120" w:type="dxa"/>
          </w:tcPr>
          <w:p w14:paraId="1BB1F9F7" w14:textId="77777777" w:rsidR="00745022" w:rsidRPr="000A6D89" w:rsidRDefault="00745022" w:rsidP="004621A7">
            <w:pPr>
              <w:ind w:left="42"/>
              <w:rPr>
                <w:i/>
              </w:rPr>
            </w:pPr>
            <w:r w:rsidRPr="000A6D89">
              <w:rPr>
                <w:i/>
              </w:rPr>
              <w:t>Given</w:t>
            </w:r>
          </w:p>
        </w:tc>
      </w:tr>
      <w:tr w:rsidR="00745022" w:rsidRPr="000A6D89" w14:paraId="11A8335B" w14:textId="77777777" w:rsidTr="000A6D89">
        <w:trPr>
          <w:jc w:val="center"/>
        </w:trPr>
        <w:tc>
          <w:tcPr>
            <w:tcW w:w="2844" w:type="dxa"/>
          </w:tcPr>
          <w:p w14:paraId="49414F05" w14:textId="77777777" w:rsidR="00745022" w:rsidRPr="000A6D89" w:rsidRDefault="00745022" w:rsidP="000A6D89">
            <w:pPr>
              <w:ind w:left="360"/>
              <w:rPr>
                <w:i/>
              </w:rPr>
            </w:pPr>
            <w:r w:rsidRPr="000A6D89">
              <w:rPr>
                <w:i/>
              </w:rPr>
              <w:t>Interest Income</w:t>
            </w:r>
          </w:p>
        </w:tc>
        <w:tc>
          <w:tcPr>
            <w:tcW w:w="1596" w:type="dxa"/>
          </w:tcPr>
          <w:p w14:paraId="69814409" w14:textId="77777777" w:rsidR="00745022" w:rsidRPr="000A6D89" w:rsidRDefault="00745022" w:rsidP="000A6D89">
            <w:pPr>
              <w:ind w:left="360"/>
              <w:jc w:val="right"/>
              <w:rPr>
                <w:i/>
              </w:rPr>
            </w:pPr>
            <w:r w:rsidRPr="000A6D89">
              <w:rPr>
                <w:i/>
              </w:rPr>
              <w:t>3,000</w:t>
            </w:r>
          </w:p>
        </w:tc>
        <w:tc>
          <w:tcPr>
            <w:tcW w:w="3120" w:type="dxa"/>
          </w:tcPr>
          <w:p w14:paraId="1F1C0994" w14:textId="77777777" w:rsidR="00745022" w:rsidRPr="000A6D89" w:rsidRDefault="00745022" w:rsidP="004621A7">
            <w:pPr>
              <w:ind w:left="42"/>
              <w:rPr>
                <w:i/>
              </w:rPr>
            </w:pPr>
            <w:r w:rsidRPr="000A6D89">
              <w:rPr>
                <w:i/>
              </w:rPr>
              <w:t>Given</w:t>
            </w:r>
          </w:p>
        </w:tc>
      </w:tr>
      <w:tr w:rsidR="00745022" w:rsidRPr="000A6D89" w14:paraId="70B1B2F6" w14:textId="77777777" w:rsidTr="000A6D89">
        <w:trPr>
          <w:jc w:val="center"/>
        </w:trPr>
        <w:tc>
          <w:tcPr>
            <w:tcW w:w="2844" w:type="dxa"/>
          </w:tcPr>
          <w:p w14:paraId="7CC6F38F" w14:textId="77777777" w:rsidR="00745022" w:rsidRPr="000A6D89" w:rsidRDefault="00745022" w:rsidP="000A6D89">
            <w:pPr>
              <w:ind w:left="360"/>
              <w:rPr>
                <w:i/>
              </w:rPr>
            </w:pPr>
            <w:r>
              <w:rPr>
                <w:i/>
              </w:rPr>
              <w:t>Qualified</w:t>
            </w:r>
            <w:r w:rsidRPr="000A6D89">
              <w:rPr>
                <w:i/>
              </w:rPr>
              <w:t xml:space="preserve"> Dividends</w:t>
            </w:r>
          </w:p>
        </w:tc>
        <w:tc>
          <w:tcPr>
            <w:tcW w:w="1596" w:type="dxa"/>
          </w:tcPr>
          <w:p w14:paraId="777ABC6B" w14:textId="77777777" w:rsidR="00745022" w:rsidRPr="000A6D89" w:rsidRDefault="00745022" w:rsidP="000A6D89">
            <w:pPr>
              <w:ind w:left="360"/>
              <w:jc w:val="right"/>
              <w:rPr>
                <w:i/>
              </w:rPr>
            </w:pPr>
            <w:r w:rsidRPr="000A6D89">
              <w:rPr>
                <w:i/>
              </w:rPr>
              <w:t>4,000</w:t>
            </w:r>
          </w:p>
        </w:tc>
        <w:tc>
          <w:tcPr>
            <w:tcW w:w="3120" w:type="dxa"/>
          </w:tcPr>
          <w:p w14:paraId="3A9B3E4C" w14:textId="77777777" w:rsidR="00745022" w:rsidRPr="000A6D89" w:rsidRDefault="00745022" w:rsidP="004621A7">
            <w:pPr>
              <w:ind w:left="42"/>
              <w:rPr>
                <w:i/>
              </w:rPr>
            </w:pPr>
            <w:r w:rsidRPr="000A6D89">
              <w:rPr>
                <w:i/>
              </w:rPr>
              <w:t>Given</w:t>
            </w:r>
          </w:p>
        </w:tc>
      </w:tr>
      <w:tr w:rsidR="00745022" w:rsidRPr="000A6D89" w14:paraId="414EC30F" w14:textId="77777777" w:rsidTr="000A6D89">
        <w:trPr>
          <w:jc w:val="center"/>
        </w:trPr>
        <w:tc>
          <w:tcPr>
            <w:tcW w:w="2844" w:type="dxa"/>
          </w:tcPr>
          <w:p w14:paraId="6C2B80E6" w14:textId="6A314678" w:rsidR="00745022" w:rsidRPr="000A6D89" w:rsidRDefault="00745022" w:rsidP="00D62AE9">
            <w:pPr>
              <w:ind w:left="360"/>
              <w:rPr>
                <w:i/>
              </w:rPr>
            </w:pPr>
            <w:r w:rsidRPr="000A6D89">
              <w:rPr>
                <w:i/>
              </w:rPr>
              <w:t>Net Capital Gain from Schedule D</w:t>
            </w:r>
          </w:p>
        </w:tc>
        <w:tc>
          <w:tcPr>
            <w:tcW w:w="1596" w:type="dxa"/>
          </w:tcPr>
          <w:p w14:paraId="5BFCE95F" w14:textId="77777777" w:rsidR="00745022" w:rsidRPr="000A6D89" w:rsidRDefault="00745022" w:rsidP="000A6D89">
            <w:pPr>
              <w:ind w:left="360"/>
              <w:jc w:val="right"/>
              <w:rPr>
                <w:i/>
              </w:rPr>
            </w:pPr>
            <w:r w:rsidRPr="000A6D89">
              <w:rPr>
                <w:i/>
              </w:rPr>
              <w:t>71,700</w:t>
            </w:r>
          </w:p>
        </w:tc>
        <w:tc>
          <w:tcPr>
            <w:tcW w:w="3120" w:type="dxa"/>
          </w:tcPr>
          <w:p w14:paraId="1091B80F" w14:textId="7F210E77" w:rsidR="00745022" w:rsidRPr="000A6D89" w:rsidRDefault="00745022" w:rsidP="00D62AE9">
            <w:pPr>
              <w:ind w:left="42"/>
              <w:rPr>
                <w:i/>
              </w:rPr>
            </w:pPr>
            <w:r w:rsidRPr="000A6D89">
              <w:rPr>
                <w:i/>
              </w:rPr>
              <w:t>See Schedule D above</w:t>
            </w:r>
            <w:r w:rsidR="00B02555">
              <w:rPr>
                <w:i/>
              </w:rPr>
              <w:t xml:space="preserve">:  </w:t>
            </w:r>
            <w:r w:rsidR="00D62AE9">
              <w:rPr>
                <w:i/>
              </w:rPr>
              <w:t>s</w:t>
            </w:r>
            <w:r w:rsidR="00B02555">
              <w:rPr>
                <w:i/>
              </w:rPr>
              <w:t xml:space="preserve">hort-term capital loss of ($8,200) + </w:t>
            </w:r>
            <w:r w:rsidR="00D62AE9">
              <w:rPr>
                <w:i/>
              </w:rPr>
              <w:t>l</w:t>
            </w:r>
            <w:r w:rsidR="00B02555">
              <w:rPr>
                <w:i/>
              </w:rPr>
              <w:t>ong-term capital gain of $79,900 = N</w:t>
            </w:r>
            <w:r w:rsidR="00D62AE9">
              <w:rPr>
                <w:i/>
              </w:rPr>
              <w:t>e</w:t>
            </w:r>
            <w:r w:rsidR="00B02555">
              <w:rPr>
                <w:i/>
              </w:rPr>
              <w:t>t capital gain of $71,200.</w:t>
            </w:r>
          </w:p>
        </w:tc>
      </w:tr>
      <w:tr w:rsidR="00745022" w:rsidRPr="000A6D89" w14:paraId="7974FF70" w14:textId="77777777" w:rsidTr="000A6D89">
        <w:trPr>
          <w:jc w:val="center"/>
        </w:trPr>
        <w:tc>
          <w:tcPr>
            <w:tcW w:w="2844" w:type="dxa"/>
          </w:tcPr>
          <w:p w14:paraId="059DE55A" w14:textId="77777777" w:rsidR="00745022" w:rsidRPr="000A6D89" w:rsidRDefault="00745022" w:rsidP="000A6D89">
            <w:pPr>
              <w:ind w:left="360"/>
              <w:rPr>
                <w:i/>
              </w:rPr>
            </w:pPr>
            <w:r w:rsidRPr="000A6D89">
              <w:rPr>
                <w:i/>
              </w:rPr>
              <w:t>Adjusted Gross Income</w:t>
            </w:r>
          </w:p>
        </w:tc>
        <w:tc>
          <w:tcPr>
            <w:tcW w:w="1596" w:type="dxa"/>
          </w:tcPr>
          <w:p w14:paraId="15746B70" w14:textId="77777777" w:rsidR="00745022" w:rsidRPr="000A6D89" w:rsidRDefault="00745022" w:rsidP="000A6D89">
            <w:pPr>
              <w:ind w:left="360"/>
              <w:jc w:val="right"/>
              <w:rPr>
                <w:i/>
              </w:rPr>
            </w:pPr>
            <w:r w:rsidRPr="000A6D89">
              <w:rPr>
                <w:i/>
              </w:rPr>
              <w:t>208,700</w:t>
            </w:r>
          </w:p>
        </w:tc>
        <w:tc>
          <w:tcPr>
            <w:tcW w:w="3120" w:type="dxa"/>
          </w:tcPr>
          <w:p w14:paraId="2E4A74F1" w14:textId="77777777" w:rsidR="00745022" w:rsidRPr="000A6D89" w:rsidRDefault="00745022" w:rsidP="004621A7">
            <w:pPr>
              <w:ind w:left="42"/>
              <w:rPr>
                <w:i/>
              </w:rPr>
            </w:pPr>
          </w:p>
        </w:tc>
      </w:tr>
      <w:tr w:rsidR="00745022" w:rsidRPr="000A6D89" w14:paraId="2B618498" w14:textId="77777777" w:rsidTr="000A6D89">
        <w:trPr>
          <w:jc w:val="center"/>
        </w:trPr>
        <w:tc>
          <w:tcPr>
            <w:tcW w:w="2844" w:type="dxa"/>
          </w:tcPr>
          <w:p w14:paraId="18786D3E" w14:textId="77777777" w:rsidR="00745022" w:rsidRPr="000A6D89" w:rsidRDefault="00745022" w:rsidP="000A6D89">
            <w:pPr>
              <w:ind w:left="360"/>
              <w:rPr>
                <w:i/>
              </w:rPr>
            </w:pPr>
            <w:r w:rsidRPr="000A6D89">
              <w:rPr>
                <w:i/>
              </w:rPr>
              <w:t>Total Itemized Deductions</w:t>
            </w:r>
          </w:p>
        </w:tc>
        <w:tc>
          <w:tcPr>
            <w:tcW w:w="1596" w:type="dxa"/>
          </w:tcPr>
          <w:p w14:paraId="5F03993F" w14:textId="77777777" w:rsidR="00745022" w:rsidRPr="000A6D89" w:rsidRDefault="00745022" w:rsidP="000A6D89">
            <w:pPr>
              <w:ind w:left="360"/>
              <w:jc w:val="right"/>
              <w:rPr>
                <w:i/>
              </w:rPr>
            </w:pPr>
            <w:r w:rsidRPr="000A6D89">
              <w:rPr>
                <w:i/>
              </w:rPr>
              <w:t>(25,000)</w:t>
            </w:r>
          </w:p>
        </w:tc>
        <w:tc>
          <w:tcPr>
            <w:tcW w:w="3120" w:type="dxa"/>
          </w:tcPr>
          <w:p w14:paraId="281AE8CB" w14:textId="6EFF6C2E" w:rsidR="00745022" w:rsidRPr="000A6D89" w:rsidRDefault="00745022" w:rsidP="00167D76">
            <w:pPr>
              <w:ind w:left="42"/>
              <w:rPr>
                <w:i/>
              </w:rPr>
            </w:pPr>
            <w:r w:rsidRPr="000A6D89">
              <w:rPr>
                <w:i/>
              </w:rPr>
              <w:t xml:space="preserve">The effect </w:t>
            </w:r>
            <w:r w:rsidR="00746881">
              <w:rPr>
                <w:i/>
              </w:rPr>
              <w:t xml:space="preserve">of </w:t>
            </w:r>
            <w:r w:rsidRPr="000A6D89">
              <w:rPr>
                <w:i/>
              </w:rPr>
              <w:t xml:space="preserve">investment interest expense </w:t>
            </w:r>
            <w:r w:rsidR="00746881">
              <w:rPr>
                <w:i/>
              </w:rPr>
              <w:t xml:space="preserve">is </w:t>
            </w:r>
            <w:r w:rsidRPr="000A6D89">
              <w:rPr>
                <w:i/>
              </w:rPr>
              <w:t>already included in this number</w:t>
            </w:r>
            <w:r w:rsidR="00C5027A">
              <w:rPr>
                <w:i/>
              </w:rPr>
              <w:t>. The itemized deductions exceed the 2018 standard deduction of $24,000.</w:t>
            </w:r>
          </w:p>
        </w:tc>
      </w:tr>
      <w:tr w:rsidR="00745022" w:rsidRPr="000A6D89" w14:paraId="7D75A804" w14:textId="77777777" w:rsidTr="000A6D89">
        <w:trPr>
          <w:jc w:val="center"/>
        </w:trPr>
        <w:tc>
          <w:tcPr>
            <w:tcW w:w="2844" w:type="dxa"/>
          </w:tcPr>
          <w:p w14:paraId="0CAAD41A" w14:textId="77777777" w:rsidR="00745022" w:rsidRPr="00A17D9F" w:rsidRDefault="00745022" w:rsidP="000A6D89">
            <w:pPr>
              <w:ind w:left="360"/>
              <w:rPr>
                <w:i/>
              </w:rPr>
            </w:pPr>
            <w:r w:rsidRPr="00A17D9F">
              <w:rPr>
                <w:i/>
              </w:rPr>
              <w:t>Taxable Income</w:t>
            </w:r>
          </w:p>
        </w:tc>
        <w:tc>
          <w:tcPr>
            <w:tcW w:w="1596" w:type="dxa"/>
          </w:tcPr>
          <w:p w14:paraId="1097A95D" w14:textId="3DBB9B6B" w:rsidR="00745022" w:rsidRPr="000A6D89" w:rsidRDefault="00746881" w:rsidP="00242D39">
            <w:pPr>
              <w:ind w:left="360"/>
              <w:jc w:val="right"/>
              <w:rPr>
                <w:i/>
              </w:rPr>
            </w:pPr>
            <w:r>
              <w:rPr>
                <w:i/>
              </w:rPr>
              <w:t>183,700</w:t>
            </w:r>
            <w:r w:rsidR="00242D39" w:rsidRPr="00A17D9F">
              <w:rPr>
                <w:i/>
              </w:rPr>
              <w:t xml:space="preserve"> </w:t>
            </w:r>
          </w:p>
        </w:tc>
        <w:tc>
          <w:tcPr>
            <w:tcW w:w="3120" w:type="dxa"/>
          </w:tcPr>
          <w:p w14:paraId="254905F1" w14:textId="77777777" w:rsidR="00745022" w:rsidRPr="000A6D89" w:rsidRDefault="00745022" w:rsidP="000A6D89">
            <w:pPr>
              <w:ind w:left="360"/>
              <w:rPr>
                <w:i/>
              </w:rPr>
            </w:pPr>
          </w:p>
        </w:tc>
      </w:tr>
    </w:tbl>
    <w:p w14:paraId="25BBADDF" w14:textId="77777777" w:rsidR="00745022" w:rsidRDefault="00745022" w:rsidP="00121C63">
      <w:pPr>
        <w:ind w:left="360"/>
      </w:pPr>
    </w:p>
    <w:p w14:paraId="2C0A06C6" w14:textId="64E312CB" w:rsidR="00745022" w:rsidRDefault="00745022" w:rsidP="00336F03">
      <w:pPr>
        <w:ind w:left="360"/>
      </w:pPr>
      <w:r w:rsidRPr="00EC27C3">
        <w:rPr>
          <w:i/>
        </w:rPr>
        <w:t xml:space="preserve">The Howell’s </w:t>
      </w:r>
      <w:r w:rsidR="00C21F2D" w:rsidRPr="00EC27C3">
        <w:rPr>
          <w:i/>
        </w:rPr>
        <w:t>201</w:t>
      </w:r>
      <w:r w:rsidR="00C21F2D">
        <w:rPr>
          <w:i/>
        </w:rPr>
        <w:t>8</w:t>
      </w:r>
      <w:r w:rsidR="00C21F2D" w:rsidRPr="00EC27C3">
        <w:rPr>
          <w:i/>
        </w:rPr>
        <w:t xml:space="preserve"> </w:t>
      </w:r>
      <w:r w:rsidRPr="00EC27C3">
        <w:rPr>
          <w:i/>
        </w:rPr>
        <w:t xml:space="preserve">tax liability </w:t>
      </w:r>
      <w:r w:rsidRPr="00A17D9F">
        <w:rPr>
          <w:i/>
        </w:rPr>
        <w:t>would be $</w:t>
      </w:r>
      <w:r w:rsidR="00605C6F">
        <w:rPr>
          <w:i/>
        </w:rPr>
        <w:t>26,994</w:t>
      </w:r>
      <w:r w:rsidR="000C1A4C" w:rsidRPr="00A17D9F">
        <w:rPr>
          <w:i/>
        </w:rPr>
        <w:t xml:space="preserve">. </w:t>
      </w:r>
      <w:r w:rsidRPr="00A17D9F">
        <w:rPr>
          <w:i/>
        </w:rPr>
        <w:t>This is calculated by determining ordinary in</w:t>
      </w:r>
      <w:r w:rsidR="004621A7" w:rsidRPr="00A17D9F">
        <w:rPr>
          <w:i/>
        </w:rPr>
        <w:t>come of $</w:t>
      </w:r>
      <w:r w:rsidR="0006467B">
        <w:rPr>
          <w:i/>
        </w:rPr>
        <w:t>108,000</w:t>
      </w:r>
      <w:r w:rsidR="008E3BBA" w:rsidRPr="00A17D9F">
        <w:rPr>
          <w:i/>
        </w:rPr>
        <w:t>,</w:t>
      </w:r>
      <w:r w:rsidR="004621A7" w:rsidRPr="00A17D9F">
        <w:rPr>
          <w:i/>
        </w:rPr>
        <w:t xml:space="preserve"> which is $</w:t>
      </w:r>
      <w:r w:rsidR="0006467B">
        <w:rPr>
          <w:i/>
        </w:rPr>
        <w:t>183,700</w:t>
      </w:r>
      <w:r w:rsidR="00242D39" w:rsidRPr="00A17D9F">
        <w:rPr>
          <w:i/>
        </w:rPr>
        <w:t xml:space="preserve"> </w:t>
      </w:r>
      <w:r w:rsidRPr="00A17D9F">
        <w:rPr>
          <w:i/>
        </w:rPr>
        <w:t>of taxable income minus $71,700 net long-term capital gain that will be taxed at 15</w:t>
      </w:r>
      <w:r w:rsidR="00C21F2D">
        <w:rPr>
          <w:i/>
        </w:rPr>
        <w:t xml:space="preserve"> percent</w:t>
      </w:r>
      <w:r w:rsidR="00C21F2D" w:rsidRPr="00A17D9F">
        <w:rPr>
          <w:i/>
        </w:rPr>
        <w:t xml:space="preserve"> </w:t>
      </w:r>
      <w:r w:rsidRPr="00A17D9F">
        <w:rPr>
          <w:i/>
        </w:rPr>
        <w:t>and minus $4,000 qualified dividends that will be taxed at 15</w:t>
      </w:r>
      <w:r w:rsidR="00C21F2D" w:rsidRPr="00C21F2D">
        <w:rPr>
          <w:i/>
        </w:rPr>
        <w:t xml:space="preserve"> </w:t>
      </w:r>
      <w:r w:rsidR="00C21F2D">
        <w:rPr>
          <w:i/>
        </w:rPr>
        <w:t>percent</w:t>
      </w:r>
      <w:r w:rsidR="000C1A4C" w:rsidRPr="00A17D9F">
        <w:rPr>
          <w:i/>
        </w:rPr>
        <w:t xml:space="preserve">. </w:t>
      </w:r>
      <w:r w:rsidR="00605C6F">
        <w:rPr>
          <w:i/>
        </w:rPr>
        <w:t xml:space="preserve">The long-term capital gains and qualified dividends will be taxed at 15 percent because the Howell’s taxable income falls between the maximum zero rate amount and the maximum 15-percent rate amount. </w:t>
      </w:r>
      <w:r w:rsidRPr="00A17D9F">
        <w:rPr>
          <w:i/>
        </w:rPr>
        <w:t>The tax on $</w:t>
      </w:r>
      <w:r w:rsidR="00C5027A">
        <w:rPr>
          <w:i/>
        </w:rPr>
        <w:t>108,000</w:t>
      </w:r>
      <w:r w:rsidR="00242D39" w:rsidRPr="00A17D9F">
        <w:rPr>
          <w:i/>
        </w:rPr>
        <w:t xml:space="preserve"> </w:t>
      </w:r>
      <w:r w:rsidRPr="00A17D9F">
        <w:rPr>
          <w:i/>
        </w:rPr>
        <w:t>is $</w:t>
      </w:r>
      <w:r w:rsidR="00605C6F">
        <w:rPr>
          <w:i/>
        </w:rPr>
        <w:t>15,639</w:t>
      </w:r>
      <w:r w:rsidR="002A5A84" w:rsidRPr="00A17D9F">
        <w:rPr>
          <w:i/>
        </w:rPr>
        <w:t xml:space="preserve"> </w:t>
      </w:r>
      <w:r w:rsidRPr="00A17D9F">
        <w:rPr>
          <w:i/>
        </w:rPr>
        <w:t>and the 15</w:t>
      </w:r>
      <w:r w:rsidR="00C21F2D" w:rsidRPr="00C21F2D">
        <w:rPr>
          <w:i/>
        </w:rPr>
        <w:t xml:space="preserve"> </w:t>
      </w:r>
      <w:r w:rsidR="00C21F2D">
        <w:rPr>
          <w:i/>
        </w:rPr>
        <w:t>percent</w:t>
      </w:r>
      <w:r w:rsidRPr="00A17D9F">
        <w:rPr>
          <w:i/>
        </w:rPr>
        <w:t xml:space="preserve"> tax on long-term capital gains and qualified dividends of $75,700 is $11,355</w:t>
      </w:r>
      <w:r w:rsidR="000C1A4C" w:rsidRPr="00A17D9F">
        <w:rPr>
          <w:i/>
        </w:rPr>
        <w:t xml:space="preserve">. </w:t>
      </w:r>
      <w:r w:rsidRPr="00A17D9F">
        <w:rPr>
          <w:i/>
        </w:rPr>
        <w:t xml:space="preserve">This results in a total </w:t>
      </w:r>
      <w:r w:rsidR="00C21F2D" w:rsidRPr="00A17D9F">
        <w:rPr>
          <w:i/>
        </w:rPr>
        <w:t>201</w:t>
      </w:r>
      <w:r w:rsidR="00C21F2D">
        <w:rPr>
          <w:i/>
        </w:rPr>
        <w:t>8</w:t>
      </w:r>
      <w:r w:rsidR="00C21F2D" w:rsidRPr="00A17D9F">
        <w:rPr>
          <w:i/>
        </w:rPr>
        <w:t xml:space="preserve"> </w:t>
      </w:r>
      <w:r w:rsidRPr="00A17D9F">
        <w:rPr>
          <w:i/>
        </w:rPr>
        <w:t>tax liability of $</w:t>
      </w:r>
      <w:r w:rsidR="00605C6F">
        <w:rPr>
          <w:i/>
        </w:rPr>
        <w:t>26,994.</w:t>
      </w:r>
      <w:r w:rsidR="00997621" w:rsidRPr="00A17D9F">
        <w:rPr>
          <w:i/>
        </w:rPr>
        <w:t xml:space="preserve"> </w:t>
      </w:r>
    </w:p>
    <w:p w14:paraId="17B2ADB4" w14:textId="77777777" w:rsidR="00745022" w:rsidRDefault="00745022" w:rsidP="00C04668">
      <w:pPr>
        <w:ind w:left="360"/>
      </w:pPr>
    </w:p>
    <w:p w14:paraId="3CBE88B7" w14:textId="77777777" w:rsidR="00745022" w:rsidRDefault="00745022" w:rsidP="00C04668">
      <w:pPr>
        <w:ind w:left="360"/>
      </w:pPr>
    </w:p>
    <w:p w14:paraId="748FA267" w14:textId="056EFEF4" w:rsidR="00745022" w:rsidRDefault="00E35091" w:rsidP="00E35091">
      <w:pPr>
        <w:ind w:left="720" w:hanging="360"/>
      </w:pPr>
      <w:r>
        <w:rPr>
          <w:i/>
        </w:rPr>
        <w:t>b.</w:t>
      </w:r>
      <w:r>
        <w:rPr>
          <w:i/>
        </w:rPr>
        <w:tab/>
      </w:r>
      <w:r w:rsidR="00745022" w:rsidRPr="00121C63">
        <w:rPr>
          <w:i/>
        </w:rPr>
        <w:t>Mr. and Mrs. Howell should have told their broker to sell the 200 shares of IBM acquired on 4/3/</w:t>
      </w:r>
      <w:r w:rsidR="00C21F2D">
        <w:rPr>
          <w:i/>
        </w:rPr>
        <w:t>16</w:t>
      </w:r>
      <w:r w:rsidR="00C21F2D" w:rsidRPr="00121C63">
        <w:rPr>
          <w:i/>
        </w:rPr>
        <w:t xml:space="preserve"> </w:t>
      </w:r>
      <w:r w:rsidR="00745022" w:rsidRPr="00121C63">
        <w:rPr>
          <w:i/>
        </w:rPr>
        <w:t>first, using the specific identification method. Because these shares have a much higher tax basis than the shares acquired on 11/22/</w:t>
      </w:r>
      <w:r w:rsidR="00C21F2D">
        <w:rPr>
          <w:i/>
        </w:rPr>
        <w:t>15</w:t>
      </w:r>
      <w:r w:rsidR="00745022" w:rsidRPr="00121C63">
        <w:rPr>
          <w:i/>
        </w:rPr>
        <w:t xml:space="preserve">, the Howells </w:t>
      </w:r>
      <w:r w:rsidR="004123C2">
        <w:rPr>
          <w:i/>
        </w:rPr>
        <w:t xml:space="preserve">could have reported a capital loss on the sale of the IBM stock, which could have been used to offset the gains from the sale of the Apple and Cisco stock. </w:t>
      </w:r>
      <w:r w:rsidR="00745022" w:rsidRPr="00121C63">
        <w:rPr>
          <w:i/>
        </w:rPr>
        <w:t>However, at this point in time, it’s too late to implement this strategy. Mr. and Mrs. Howell should have consulted with their tax advisor prior to the sale.</w:t>
      </w:r>
    </w:p>
    <w:p w14:paraId="45564606" w14:textId="77777777" w:rsidR="00745022" w:rsidRDefault="00745022" w:rsidP="00C04668">
      <w:pPr>
        <w:ind w:left="360"/>
      </w:pPr>
    </w:p>
    <w:p w14:paraId="19C930B8" w14:textId="7AED9E8B" w:rsidR="00745022" w:rsidRDefault="00E35091" w:rsidP="00E35091">
      <w:pPr>
        <w:ind w:left="720" w:hanging="360"/>
      </w:pPr>
      <w:r>
        <w:rPr>
          <w:i/>
        </w:rPr>
        <w:t>c.</w:t>
      </w:r>
      <w:r>
        <w:rPr>
          <w:i/>
        </w:rPr>
        <w:tab/>
      </w:r>
      <w:r w:rsidR="00745022" w:rsidRPr="00121C63">
        <w:rPr>
          <w:i/>
        </w:rPr>
        <w:t xml:space="preserve">If we assume the Howell’s short-term capital loss carryover into </w:t>
      </w:r>
      <w:r w:rsidR="00C21F2D">
        <w:rPr>
          <w:i/>
        </w:rPr>
        <w:t>2018</w:t>
      </w:r>
      <w:r w:rsidR="00C21F2D" w:rsidRPr="00121C63">
        <w:rPr>
          <w:i/>
        </w:rPr>
        <w:t xml:space="preserve"> </w:t>
      </w:r>
      <w:r w:rsidR="00745022" w:rsidRPr="00121C63">
        <w:rPr>
          <w:i/>
        </w:rPr>
        <w:t xml:space="preserve">was $82,300 rather than $2,300 as originally assumed, a number of things change. First, the net short-term capital loss for the year increases to $88,200. When netted against the net long-term capital gain for the year of $79,900, a net short-term capital loss for the year of $8,300 remains. $3,000 of this loss can be used to reduce ordinary income, and the remaining $5,300 constitutes a short-term capital loss carryover to future tax years. </w:t>
      </w:r>
    </w:p>
    <w:p w14:paraId="565EC2D5" w14:textId="77777777" w:rsidR="00745022" w:rsidRDefault="00745022" w:rsidP="00C04668"/>
    <w:sectPr w:rsidR="00745022" w:rsidSect="00B33EBC">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402E7" w14:textId="77777777" w:rsidR="00817068" w:rsidRDefault="00817068">
      <w:r>
        <w:separator/>
      </w:r>
    </w:p>
  </w:endnote>
  <w:endnote w:type="continuationSeparator" w:id="0">
    <w:p w14:paraId="1730D980" w14:textId="77777777" w:rsidR="00817068" w:rsidRDefault="00817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MTSt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F3496" w14:textId="77777777" w:rsidR="0059137D" w:rsidRDefault="005913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914DE9" w14:textId="77777777" w:rsidR="0059137D" w:rsidRDefault="0059137D">
    <w:pPr>
      <w:pStyle w:val="Footer"/>
      <w:ind w:right="360"/>
    </w:pPr>
  </w:p>
  <w:p w14:paraId="4D66C14E" w14:textId="77777777" w:rsidR="0059137D" w:rsidRDefault="0059137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EF7A8" w14:textId="08E841E5" w:rsidR="0059137D" w:rsidRPr="00BE576D" w:rsidRDefault="0059137D" w:rsidP="00BE576D">
    <w:pPr>
      <w:rPr>
        <w:sz w:val="14"/>
        <w:szCs w:val="22"/>
        <w:lang w:val="en-IN"/>
      </w:rPr>
    </w:pPr>
    <w:r w:rsidRPr="00101662">
      <w:rPr>
        <w:sz w:val="14"/>
        <w:szCs w:val="22"/>
        <w:lang w:val="en-IN"/>
      </w:rPr>
      <w:t>C</w:t>
    </w:r>
    <w:r>
      <w:rPr>
        <w:sz w:val="14"/>
        <w:szCs w:val="22"/>
        <w:lang w:val="en-IN"/>
      </w:rPr>
      <w:t>opyright © 2019</w:t>
    </w:r>
    <w:r w:rsidRPr="00101662">
      <w:rPr>
        <w:sz w:val="14"/>
        <w:szCs w:val="22"/>
        <w:lang w:val="en-IN"/>
      </w:rPr>
      <w:t xml:space="preserve"> McGraw-Hill Education</w:t>
    </w:r>
    <w:r>
      <w:rPr>
        <w:sz w:val="14"/>
        <w:szCs w:val="22"/>
        <w:lang w:val="en-IN"/>
      </w:rPr>
      <w:t xml:space="preserve">. </w:t>
    </w:r>
    <w:r w:rsidRPr="00101662">
      <w:rPr>
        <w:sz w:val="14"/>
        <w:szCs w:val="22"/>
        <w:lang w:val="en-IN"/>
      </w:rPr>
      <w:t>All rights reserved. No reproduction or distribution without the prior written consent of McGraw-Hill Education.</w:t>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067E3" w14:textId="77777777" w:rsidR="000401AB" w:rsidRDefault="00040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19F51" w14:textId="77777777" w:rsidR="00817068" w:rsidRDefault="00817068">
      <w:r>
        <w:separator/>
      </w:r>
    </w:p>
  </w:footnote>
  <w:footnote w:type="continuationSeparator" w:id="0">
    <w:p w14:paraId="36E57BCC" w14:textId="77777777" w:rsidR="00817068" w:rsidRDefault="00817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3F06B" w14:textId="77777777" w:rsidR="0059137D" w:rsidRDefault="0059137D">
    <w:pPr>
      <w:pStyle w:val="Header"/>
    </w:pPr>
  </w:p>
  <w:p w14:paraId="012B07A0" w14:textId="77777777" w:rsidR="0059137D" w:rsidRDefault="0059137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6011739"/>
      <w:docPartObj>
        <w:docPartGallery w:val="Page Numbers (Top of Page)"/>
        <w:docPartUnique/>
      </w:docPartObj>
    </w:sdtPr>
    <w:sdtEndPr>
      <w:rPr>
        <w:noProof/>
      </w:rPr>
    </w:sdtEndPr>
    <w:sdtContent>
      <w:p w14:paraId="508B63F4" w14:textId="7364512B" w:rsidR="0059137D" w:rsidRDefault="000401AB">
        <w:pPr>
          <w:pStyle w:val="Header"/>
          <w:jc w:val="right"/>
        </w:pPr>
        <w:r>
          <w:t>Solutions Manual -</w:t>
        </w:r>
        <w:r>
          <w:rPr>
            <w:i/>
          </w:rPr>
          <w:t xml:space="preserve"> Taxation of Individuals and Business Entities, </w:t>
        </w:r>
        <w:r>
          <w:t>by Spilker et al.</w:t>
        </w:r>
        <w:bookmarkStart w:id="0" w:name="_GoBack"/>
        <w:bookmarkEnd w:id="0"/>
        <w:r>
          <w:rPr>
            <w:noProof/>
          </w:rPr>
          <w:t xml:space="preserve"> </w:t>
        </w:r>
      </w:p>
    </w:sdtContent>
  </w:sdt>
  <w:p w14:paraId="0E8676C3" w14:textId="77777777" w:rsidR="0059137D" w:rsidRDefault="0059137D" w:rsidP="00B33EBC">
    <w:pPr>
      <w:pStyle w:val="Header"/>
      <w:jc w:val="right"/>
    </w:pPr>
  </w:p>
  <w:p w14:paraId="5786D8A0" w14:textId="77777777" w:rsidR="0059137D" w:rsidRDefault="0059137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5EF5A" w14:textId="77777777" w:rsidR="000401AB" w:rsidRDefault="000401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E392F"/>
    <w:multiLevelType w:val="hybridMultilevel"/>
    <w:tmpl w:val="2AEE51BA"/>
    <w:lvl w:ilvl="0" w:tplc="5CD2528E">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B056FE5"/>
    <w:multiLevelType w:val="hybridMultilevel"/>
    <w:tmpl w:val="A4DAE62E"/>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54E5B"/>
    <w:multiLevelType w:val="hybridMultilevel"/>
    <w:tmpl w:val="7DE2C88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931E0"/>
    <w:multiLevelType w:val="hybridMultilevel"/>
    <w:tmpl w:val="27D2FDF2"/>
    <w:lvl w:ilvl="0" w:tplc="04090001">
      <w:start w:val="1"/>
      <w:numFmt w:val="bullet"/>
      <w:lvlText w:val=""/>
      <w:lvlJc w:val="left"/>
      <w:pPr>
        <w:tabs>
          <w:tab w:val="num" w:pos="960"/>
        </w:tabs>
        <w:ind w:left="960" w:hanging="360"/>
      </w:pPr>
      <w:rPr>
        <w:rFonts w:ascii="Symbol" w:hAnsi="Symbol" w:hint="default"/>
      </w:rPr>
    </w:lvl>
    <w:lvl w:ilvl="1" w:tplc="09705AD6">
      <w:start w:val="1"/>
      <w:numFmt w:val="upperLetter"/>
      <w:lvlText w:val="%2)"/>
      <w:lvlJc w:val="left"/>
      <w:pPr>
        <w:ind w:left="1680" w:hanging="360"/>
      </w:pPr>
      <w:rPr>
        <w:rFonts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4" w15:restartNumberingAfterBreak="0">
    <w:nsid w:val="11A112CA"/>
    <w:multiLevelType w:val="hybridMultilevel"/>
    <w:tmpl w:val="CE0A0728"/>
    <w:lvl w:ilvl="0" w:tplc="5CD2528E">
      <w:start w:val="1"/>
      <w:numFmt w:val="lowerLetter"/>
      <w:lvlText w:val="%1."/>
      <w:lvlJc w:val="left"/>
      <w:pPr>
        <w:tabs>
          <w:tab w:val="num" w:pos="1440"/>
        </w:tabs>
        <w:ind w:left="1440" w:hanging="360"/>
      </w:pPr>
      <w:rPr>
        <w:rFonts w:cs="Times New Roman" w:hint="default"/>
      </w:rPr>
    </w:lvl>
    <w:lvl w:ilvl="1" w:tplc="5CD2528E">
      <w:start w:val="1"/>
      <w:numFmt w:val="lowerLetter"/>
      <w:lvlText w:val="%2."/>
      <w:lvlJc w:val="left"/>
      <w:pPr>
        <w:tabs>
          <w:tab w:val="num" w:pos="1440"/>
        </w:tabs>
        <w:ind w:left="1440" w:hanging="360"/>
      </w:pPr>
      <w:rPr>
        <w:rFonts w:cs="Times New Roman" w:hint="default"/>
      </w:rPr>
    </w:lvl>
    <w:lvl w:ilvl="2" w:tplc="5CD2528E">
      <w:start w:val="1"/>
      <w:numFmt w:val="lowerLetter"/>
      <w:lvlText w:val="%3."/>
      <w:lvlJc w:val="left"/>
      <w:pPr>
        <w:tabs>
          <w:tab w:val="num" w:pos="1440"/>
        </w:tabs>
        <w:ind w:left="14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6200FD1"/>
    <w:multiLevelType w:val="hybridMultilevel"/>
    <w:tmpl w:val="0EBCC12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0CC70AA"/>
    <w:multiLevelType w:val="singleLevel"/>
    <w:tmpl w:val="04090015"/>
    <w:lvl w:ilvl="0">
      <w:start w:val="1"/>
      <w:numFmt w:val="upperLetter"/>
      <w:lvlText w:val="%1."/>
      <w:lvlJc w:val="left"/>
      <w:pPr>
        <w:tabs>
          <w:tab w:val="num" w:pos="480"/>
        </w:tabs>
        <w:ind w:left="480" w:hanging="360"/>
      </w:pPr>
      <w:rPr>
        <w:rFonts w:cs="Times New Roman" w:hint="default"/>
      </w:rPr>
    </w:lvl>
  </w:abstractNum>
  <w:abstractNum w:abstractNumId="7" w15:restartNumberingAfterBreak="0">
    <w:nsid w:val="225F54BC"/>
    <w:multiLevelType w:val="hybridMultilevel"/>
    <w:tmpl w:val="EF6A5F1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E9833E2"/>
    <w:multiLevelType w:val="hybridMultilevel"/>
    <w:tmpl w:val="C9DC734A"/>
    <w:lvl w:ilvl="0" w:tplc="5CD2528E">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17E7C15"/>
    <w:multiLevelType w:val="hybridMultilevel"/>
    <w:tmpl w:val="333CEA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2791A51"/>
    <w:multiLevelType w:val="hybridMultilevel"/>
    <w:tmpl w:val="6FF8E54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1" w15:restartNumberingAfterBreak="0">
    <w:nsid w:val="34527A3F"/>
    <w:multiLevelType w:val="hybridMultilevel"/>
    <w:tmpl w:val="CE72A402"/>
    <w:lvl w:ilvl="0" w:tplc="5CD2528E">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C681DF1"/>
    <w:multiLevelType w:val="hybridMultilevel"/>
    <w:tmpl w:val="A4A85CB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1A4714"/>
    <w:multiLevelType w:val="hybridMultilevel"/>
    <w:tmpl w:val="2B9A2034"/>
    <w:lvl w:ilvl="0" w:tplc="78C20BDA">
      <w:start w:val="1"/>
      <w:numFmt w:val="lowerLetter"/>
      <w:lvlText w:val="%1)"/>
      <w:lvlJc w:val="left"/>
      <w:pPr>
        <w:tabs>
          <w:tab w:val="num" w:pos="720"/>
        </w:tabs>
        <w:ind w:left="720" w:hanging="360"/>
      </w:pPr>
      <w:rPr>
        <w:rFonts w:hint="default"/>
      </w:r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9D601B"/>
    <w:multiLevelType w:val="hybridMultilevel"/>
    <w:tmpl w:val="76BA27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7E5529B"/>
    <w:multiLevelType w:val="hybridMultilevel"/>
    <w:tmpl w:val="01FC98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8570603"/>
    <w:multiLevelType w:val="hybridMultilevel"/>
    <w:tmpl w:val="BCA6BB70"/>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92C72A4"/>
    <w:multiLevelType w:val="hybridMultilevel"/>
    <w:tmpl w:val="593CCDDC"/>
    <w:lvl w:ilvl="0" w:tplc="1EFAABC4">
      <w:start w:val="1"/>
      <w:numFmt w:val="decimal"/>
      <w:lvlText w:val="%1."/>
      <w:lvlJc w:val="left"/>
      <w:pPr>
        <w:tabs>
          <w:tab w:val="num" w:pos="360"/>
        </w:tabs>
        <w:ind w:left="360" w:hanging="360"/>
      </w:pPr>
      <w:rPr>
        <w:rFonts w:cs="Times New Roman" w:hint="default"/>
        <w:i w:val="0"/>
      </w:rPr>
    </w:lvl>
    <w:lvl w:ilvl="1" w:tplc="5CD2528E">
      <w:start w:val="1"/>
      <w:numFmt w:val="lowerLetter"/>
      <w:lvlText w:val="%2."/>
      <w:lvlJc w:val="left"/>
      <w:pPr>
        <w:tabs>
          <w:tab w:val="num" w:pos="1440"/>
        </w:tabs>
        <w:ind w:left="1440" w:hanging="360"/>
      </w:pPr>
      <w:rPr>
        <w:rFonts w:cs="Times New Roman" w:hint="default"/>
      </w:rPr>
    </w:lvl>
    <w:lvl w:ilvl="2" w:tplc="5CD2528E">
      <w:start w:val="1"/>
      <w:numFmt w:val="lowerLetter"/>
      <w:lvlText w:val="%3."/>
      <w:lvlJc w:val="left"/>
      <w:pPr>
        <w:tabs>
          <w:tab w:val="num" w:pos="2340"/>
        </w:tabs>
        <w:ind w:left="2340" w:hanging="360"/>
      </w:pPr>
      <w:rPr>
        <w:rFonts w:cs="Times New Roman" w:hint="default"/>
      </w:rPr>
    </w:lvl>
    <w:lvl w:ilvl="3" w:tplc="5CD2528E">
      <w:start w:val="1"/>
      <w:numFmt w:val="lowerLetter"/>
      <w:lvlText w:val="%4."/>
      <w:lvlJc w:val="left"/>
      <w:pPr>
        <w:tabs>
          <w:tab w:val="num" w:pos="2340"/>
        </w:tabs>
        <w:ind w:left="2340" w:hanging="360"/>
      </w:pPr>
      <w:rPr>
        <w:rFonts w:cs="Times New Roman" w:hint="default"/>
      </w:rPr>
    </w:lvl>
    <w:lvl w:ilvl="4" w:tplc="5CD2528E">
      <w:start w:val="1"/>
      <w:numFmt w:val="lowerLetter"/>
      <w:lvlText w:val="%5."/>
      <w:lvlJc w:val="left"/>
      <w:pPr>
        <w:tabs>
          <w:tab w:val="num" w:pos="2340"/>
        </w:tabs>
        <w:ind w:left="2340" w:hanging="360"/>
      </w:pPr>
      <w:rPr>
        <w:rFonts w:cs="Times New Roman" w:hint="default"/>
      </w:rPr>
    </w:lvl>
    <w:lvl w:ilvl="5" w:tplc="5CD2528E">
      <w:start w:val="1"/>
      <w:numFmt w:val="lowerLetter"/>
      <w:lvlText w:val="%6."/>
      <w:lvlJc w:val="left"/>
      <w:pPr>
        <w:tabs>
          <w:tab w:val="num" w:pos="2340"/>
        </w:tabs>
        <w:ind w:left="2340" w:hanging="360"/>
      </w:pPr>
      <w:rPr>
        <w:rFonts w:cs="Times New Roman" w:hint="default"/>
      </w:rPr>
    </w:lvl>
    <w:lvl w:ilvl="6" w:tplc="5CD2528E">
      <w:start w:val="1"/>
      <w:numFmt w:val="lowerLetter"/>
      <w:lvlText w:val="%7."/>
      <w:lvlJc w:val="left"/>
      <w:pPr>
        <w:tabs>
          <w:tab w:val="num" w:pos="1080"/>
        </w:tabs>
        <w:ind w:left="1080" w:hanging="360"/>
      </w:pPr>
      <w:rPr>
        <w:rFonts w:cs="Times New Roman" w:hint="default"/>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9FF0521"/>
    <w:multiLevelType w:val="hybridMultilevel"/>
    <w:tmpl w:val="D27C6B7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9" w15:restartNumberingAfterBreak="0">
    <w:nsid w:val="4A630069"/>
    <w:multiLevelType w:val="hybridMultilevel"/>
    <w:tmpl w:val="E7D0A2C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B3609BF"/>
    <w:multiLevelType w:val="hybridMultilevel"/>
    <w:tmpl w:val="D52C7B5C"/>
    <w:lvl w:ilvl="0" w:tplc="04090019">
      <w:start w:val="1"/>
      <w:numFmt w:val="lowerLetter"/>
      <w:lvlText w:val="%1."/>
      <w:lvlJc w:val="left"/>
      <w:pPr>
        <w:tabs>
          <w:tab w:val="num" w:pos="960"/>
        </w:tabs>
        <w:ind w:left="960" w:hanging="360"/>
      </w:pPr>
      <w:rPr>
        <w:rFonts w:hint="default"/>
      </w:rPr>
    </w:lvl>
    <w:lvl w:ilvl="1" w:tplc="09705AD6">
      <w:start w:val="1"/>
      <w:numFmt w:val="upperLetter"/>
      <w:lvlText w:val="%2)"/>
      <w:lvlJc w:val="left"/>
      <w:pPr>
        <w:ind w:left="1680" w:hanging="360"/>
      </w:pPr>
      <w:rPr>
        <w:rFonts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21" w15:restartNumberingAfterBreak="0">
    <w:nsid w:val="5977740E"/>
    <w:multiLevelType w:val="hybridMultilevel"/>
    <w:tmpl w:val="18F6E27C"/>
    <w:lvl w:ilvl="0" w:tplc="78C20BDA">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9987158"/>
    <w:multiLevelType w:val="hybridMultilevel"/>
    <w:tmpl w:val="408C90C4"/>
    <w:lvl w:ilvl="0" w:tplc="5CD2528E">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AAA06E4"/>
    <w:multiLevelType w:val="hybridMultilevel"/>
    <w:tmpl w:val="0FA23DA4"/>
    <w:lvl w:ilvl="0" w:tplc="0838BA2C">
      <w:start w:val="87"/>
      <w:numFmt w:val="decimal"/>
      <w:lvlText w:val="%1."/>
      <w:lvlJc w:val="left"/>
      <w:pPr>
        <w:tabs>
          <w:tab w:val="num" w:pos="360"/>
        </w:tabs>
        <w:ind w:left="36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B43CFB"/>
    <w:multiLevelType w:val="hybridMultilevel"/>
    <w:tmpl w:val="FC54EDF0"/>
    <w:lvl w:ilvl="0" w:tplc="5CD2528E">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D18298A"/>
    <w:multiLevelType w:val="hybridMultilevel"/>
    <w:tmpl w:val="C90C751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6" w15:restartNumberingAfterBreak="0">
    <w:nsid w:val="5EAA782F"/>
    <w:multiLevelType w:val="hybridMultilevel"/>
    <w:tmpl w:val="13E0F1E8"/>
    <w:lvl w:ilvl="0" w:tplc="0576C852">
      <w:start w:val="1"/>
      <w:numFmt w:val="decimal"/>
      <w:lvlText w:val="%1."/>
      <w:lvlJc w:val="left"/>
      <w:pPr>
        <w:tabs>
          <w:tab w:val="num" w:pos="720"/>
        </w:tabs>
        <w:ind w:left="720" w:hanging="72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F743949"/>
    <w:multiLevelType w:val="hybridMultilevel"/>
    <w:tmpl w:val="428C685E"/>
    <w:lvl w:ilvl="0" w:tplc="0409000F">
      <w:start w:val="1"/>
      <w:numFmt w:val="decimal"/>
      <w:lvlText w:val="%1."/>
      <w:lvlJc w:val="left"/>
      <w:pPr>
        <w:tabs>
          <w:tab w:val="num" w:pos="360"/>
        </w:tabs>
        <w:ind w:left="360" w:hanging="360"/>
      </w:pPr>
    </w:lvl>
    <w:lvl w:ilvl="1" w:tplc="F53205EE">
      <w:start w:val="1"/>
      <w:numFmt w:val="lowerLetter"/>
      <w:lvlText w:val="%2."/>
      <w:lvlJc w:val="left"/>
      <w:pPr>
        <w:tabs>
          <w:tab w:val="num" w:pos="1080"/>
        </w:tabs>
        <w:ind w:left="1080" w:hanging="360"/>
      </w:pPr>
      <w:rPr>
        <w:rFonts w:hint="default"/>
      </w:rPr>
    </w:lvl>
    <w:lvl w:ilvl="2" w:tplc="61E6277C">
      <w:start w:val="2"/>
      <w:numFmt w:val="lowerLetter"/>
      <w:lvlText w:val="(%3)"/>
      <w:lvlJc w:val="left"/>
      <w:pPr>
        <w:tabs>
          <w:tab w:val="num" w:pos="2580"/>
        </w:tabs>
        <w:ind w:left="2580" w:hanging="9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FA63B99"/>
    <w:multiLevelType w:val="hybridMultilevel"/>
    <w:tmpl w:val="2C3EA008"/>
    <w:lvl w:ilvl="0" w:tplc="04090011">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37BCB21C">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00863E4"/>
    <w:multiLevelType w:val="hybridMultilevel"/>
    <w:tmpl w:val="1A5471A4"/>
    <w:lvl w:ilvl="0" w:tplc="E5A815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24F00F8"/>
    <w:multiLevelType w:val="hybridMultilevel"/>
    <w:tmpl w:val="001A2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E12D13"/>
    <w:multiLevelType w:val="hybridMultilevel"/>
    <w:tmpl w:val="FCA01A66"/>
    <w:lvl w:ilvl="0" w:tplc="04090011">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lvl>
    <w:lvl w:ilvl="2" w:tplc="37BCB21C">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6D17D47"/>
    <w:multiLevelType w:val="hybridMultilevel"/>
    <w:tmpl w:val="AE161F7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4"/>
  </w:num>
  <w:num w:numId="3">
    <w:abstractNumId w:val="22"/>
  </w:num>
  <w:num w:numId="4">
    <w:abstractNumId w:val="11"/>
  </w:num>
  <w:num w:numId="5">
    <w:abstractNumId w:val="8"/>
  </w:num>
  <w:num w:numId="6">
    <w:abstractNumId w:val="0"/>
  </w:num>
  <w:num w:numId="7">
    <w:abstractNumId w:val="24"/>
  </w:num>
  <w:num w:numId="8">
    <w:abstractNumId w:val="30"/>
  </w:num>
  <w:num w:numId="9">
    <w:abstractNumId w:val="6"/>
  </w:num>
  <w:num w:numId="10">
    <w:abstractNumId w:val="7"/>
  </w:num>
  <w:num w:numId="11">
    <w:abstractNumId w:val="29"/>
  </w:num>
  <w:num w:numId="12">
    <w:abstractNumId w:val="16"/>
  </w:num>
  <w:num w:numId="13">
    <w:abstractNumId w:val="26"/>
  </w:num>
  <w:num w:numId="14">
    <w:abstractNumId w:val="18"/>
  </w:num>
  <w:num w:numId="15">
    <w:abstractNumId w:val="14"/>
  </w:num>
  <w:num w:numId="16">
    <w:abstractNumId w:val="12"/>
  </w:num>
  <w:num w:numId="17">
    <w:abstractNumId w:val="27"/>
  </w:num>
  <w:num w:numId="18">
    <w:abstractNumId w:val="2"/>
  </w:num>
  <w:num w:numId="19">
    <w:abstractNumId w:val="21"/>
  </w:num>
  <w:num w:numId="20">
    <w:abstractNumId w:val="19"/>
  </w:num>
  <w:num w:numId="21">
    <w:abstractNumId w:val="9"/>
  </w:num>
  <w:num w:numId="22">
    <w:abstractNumId w:val="20"/>
  </w:num>
  <w:num w:numId="23">
    <w:abstractNumId w:val="13"/>
  </w:num>
  <w:num w:numId="24">
    <w:abstractNumId w:val="25"/>
  </w:num>
  <w:num w:numId="25">
    <w:abstractNumId w:val="31"/>
  </w:num>
  <w:num w:numId="26">
    <w:abstractNumId w:val="1"/>
  </w:num>
  <w:num w:numId="27">
    <w:abstractNumId w:val="32"/>
  </w:num>
  <w:num w:numId="28">
    <w:abstractNumId w:val="10"/>
  </w:num>
  <w:num w:numId="29">
    <w:abstractNumId w:val="3"/>
  </w:num>
  <w:num w:numId="30">
    <w:abstractNumId w:val="28"/>
  </w:num>
  <w:num w:numId="31">
    <w:abstractNumId w:val="5"/>
  </w:num>
  <w:num w:numId="32">
    <w:abstractNumId w:val="2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C04668"/>
    <w:rsid w:val="000019F6"/>
    <w:rsid w:val="00001FF4"/>
    <w:rsid w:val="00002042"/>
    <w:rsid w:val="0000233E"/>
    <w:rsid w:val="00002A86"/>
    <w:rsid w:val="00003AE0"/>
    <w:rsid w:val="00006314"/>
    <w:rsid w:val="000069CB"/>
    <w:rsid w:val="00006E2E"/>
    <w:rsid w:val="00007200"/>
    <w:rsid w:val="00007FF9"/>
    <w:rsid w:val="00010970"/>
    <w:rsid w:val="00011414"/>
    <w:rsid w:val="00012BA7"/>
    <w:rsid w:val="00012BF8"/>
    <w:rsid w:val="00012F70"/>
    <w:rsid w:val="00013C2C"/>
    <w:rsid w:val="0001436E"/>
    <w:rsid w:val="000148A1"/>
    <w:rsid w:val="00016233"/>
    <w:rsid w:val="00016297"/>
    <w:rsid w:val="0001633C"/>
    <w:rsid w:val="0001638B"/>
    <w:rsid w:val="00016E98"/>
    <w:rsid w:val="00017A1D"/>
    <w:rsid w:val="00017D1E"/>
    <w:rsid w:val="00020C7C"/>
    <w:rsid w:val="00020D1F"/>
    <w:rsid w:val="00021F16"/>
    <w:rsid w:val="00022C51"/>
    <w:rsid w:val="0002306D"/>
    <w:rsid w:val="000236D2"/>
    <w:rsid w:val="00023C00"/>
    <w:rsid w:val="00023EA9"/>
    <w:rsid w:val="00023EAB"/>
    <w:rsid w:val="00025892"/>
    <w:rsid w:val="00026298"/>
    <w:rsid w:val="00032829"/>
    <w:rsid w:val="00032D53"/>
    <w:rsid w:val="00032DAC"/>
    <w:rsid w:val="00032E75"/>
    <w:rsid w:val="00034CE6"/>
    <w:rsid w:val="00034D80"/>
    <w:rsid w:val="00034E5E"/>
    <w:rsid w:val="0003503D"/>
    <w:rsid w:val="0003518A"/>
    <w:rsid w:val="0003578D"/>
    <w:rsid w:val="000366B0"/>
    <w:rsid w:val="00037AA5"/>
    <w:rsid w:val="00037B5D"/>
    <w:rsid w:val="000401AB"/>
    <w:rsid w:val="000402CE"/>
    <w:rsid w:val="0004066E"/>
    <w:rsid w:val="0004519A"/>
    <w:rsid w:val="0004582F"/>
    <w:rsid w:val="00046242"/>
    <w:rsid w:val="000462EB"/>
    <w:rsid w:val="000462FA"/>
    <w:rsid w:val="00046349"/>
    <w:rsid w:val="00046359"/>
    <w:rsid w:val="00046539"/>
    <w:rsid w:val="000466BF"/>
    <w:rsid w:val="000467FD"/>
    <w:rsid w:val="00047272"/>
    <w:rsid w:val="00047BFE"/>
    <w:rsid w:val="00050F8E"/>
    <w:rsid w:val="00052D98"/>
    <w:rsid w:val="00053A20"/>
    <w:rsid w:val="00053F7E"/>
    <w:rsid w:val="0005496C"/>
    <w:rsid w:val="000549B6"/>
    <w:rsid w:val="00055876"/>
    <w:rsid w:val="0005603E"/>
    <w:rsid w:val="00056113"/>
    <w:rsid w:val="000566F7"/>
    <w:rsid w:val="000574BC"/>
    <w:rsid w:val="0005761B"/>
    <w:rsid w:val="00057782"/>
    <w:rsid w:val="0005794B"/>
    <w:rsid w:val="000579D3"/>
    <w:rsid w:val="00060089"/>
    <w:rsid w:val="00060591"/>
    <w:rsid w:val="000605F2"/>
    <w:rsid w:val="00060918"/>
    <w:rsid w:val="00060B86"/>
    <w:rsid w:val="00061265"/>
    <w:rsid w:val="00061B36"/>
    <w:rsid w:val="00062934"/>
    <w:rsid w:val="0006306A"/>
    <w:rsid w:val="00063943"/>
    <w:rsid w:val="00063AD0"/>
    <w:rsid w:val="0006467B"/>
    <w:rsid w:val="00064BD6"/>
    <w:rsid w:val="00064DF5"/>
    <w:rsid w:val="000657E2"/>
    <w:rsid w:val="000662A4"/>
    <w:rsid w:val="0006782A"/>
    <w:rsid w:val="00070836"/>
    <w:rsid w:val="00070A47"/>
    <w:rsid w:val="00071099"/>
    <w:rsid w:val="000712D5"/>
    <w:rsid w:val="00071678"/>
    <w:rsid w:val="00071785"/>
    <w:rsid w:val="00071BE6"/>
    <w:rsid w:val="00071D7C"/>
    <w:rsid w:val="00072BB3"/>
    <w:rsid w:val="00072D0C"/>
    <w:rsid w:val="000730D1"/>
    <w:rsid w:val="00073620"/>
    <w:rsid w:val="00075675"/>
    <w:rsid w:val="00075DB7"/>
    <w:rsid w:val="000776F2"/>
    <w:rsid w:val="00077781"/>
    <w:rsid w:val="00077855"/>
    <w:rsid w:val="00077C39"/>
    <w:rsid w:val="00077C6D"/>
    <w:rsid w:val="00077F8D"/>
    <w:rsid w:val="0008012E"/>
    <w:rsid w:val="00080438"/>
    <w:rsid w:val="00081BFE"/>
    <w:rsid w:val="0008320A"/>
    <w:rsid w:val="000846FD"/>
    <w:rsid w:val="00084B2E"/>
    <w:rsid w:val="00084F0F"/>
    <w:rsid w:val="00084F7B"/>
    <w:rsid w:val="00084F8B"/>
    <w:rsid w:val="00084FBB"/>
    <w:rsid w:val="0008587D"/>
    <w:rsid w:val="00085AFC"/>
    <w:rsid w:val="0008609A"/>
    <w:rsid w:val="000875CF"/>
    <w:rsid w:val="00090086"/>
    <w:rsid w:val="00090D1A"/>
    <w:rsid w:val="00091B4F"/>
    <w:rsid w:val="0009222B"/>
    <w:rsid w:val="00092C29"/>
    <w:rsid w:val="00092D82"/>
    <w:rsid w:val="00093179"/>
    <w:rsid w:val="00094051"/>
    <w:rsid w:val="000942C8"/>
    <w:rsid w:val="0009484B"/>
    <w:rsid w:val="00094CF8"/>
    <w:rsid w:val="000965CA"/>
    <w:rsid w:val="00096AAE"/>
    <w:rsid w:val="00097320"/>
    <w:rsid w:val="00097575"/>
    <w:rsid w:val="00097B7C"/>
    <w:rsid w:val="00097F8B"/>
    <w:rsid w:val="000A0580"/>
    <w:rsid w:val="000A0D31"/>
    <w:rsid w:val="000A1065"/>
    <w:rsid w:val="000A1A02"/>
    <w:rsid w:val="000A1CC2"/>
    <w:rsid w:val="000A28D2"/>
    <w:rsid w:val="000A295B"/>
    <w:rsid w:val="000A38A6"/>
    <w:rsid w:val="000A3AEB"/>
    <w:rsid w:val="000A4B45"/>
    <w:rsid w:val="000A53F4"/>
    <w:rsid w:val="000A6022"/>
    <w:rsid w:val="000A6D89"/>
    <w:rsid w:val="000A7847"/>
    <w:rsid w:val="000B025F"/>
    <w:rsid w:val="000B0387"/>
    <w:rsid w:val="000B0FA1"/>
    <w:rsid w:val="000B1016"/>
    <w:rsid w:val="000B1C34"/>
    <w:rsid w:val="000B2462"/>
    <w:rsid w:val="000B2623"/>
    <w:rsid w:val="000B2DC6"/>
    <w:rsid w:val="000B3495"/>
    <w:rsid w:val="000B3616"/>
    <w:rsid w:val="000B43C6"/>
    <w:rsid w:val="000B43F6"/>
    <w:rsid w:val="000B44A1"/>
    <w:rsid w:val="000B494B"/>
    <w:rsid w:val="000B6525"/>
    <w:rsid w:val="000B7477"/>
    <w:rsid w:val="000B76CC"/>
    <w:rsid w:val="000C02E4"/>
    <w:rsid w:val="000C0DC5"/>
    <w:rsid w:val="000C11D4"/>
    <w:rsid w:val="000C1A4C"/>
    <w:rsid w:val="000C229C"/>
    <w:rsid w:val="000C28B3"/>
    <w:rsid w:val="000C334E"/>
    <w:rsid w:val="000C48DF"/>
    <w:rsid w:val="000C5122"/>
    <w:rsid w:val="000C53F7"/>
    <w:rsid w:val="000C5790"/>
    <w:rsid w:val="000C5A4E"/>
    <w:rsid w:val="000C5BBF"/>
    <w:rsid w:val="000C743F"/>
    <w:rsid w:val="000C7446"/>
    <w:rsid w:val="000D02B2"/>
    <w:rsid w:val="000D0326"/>
    <w:rsid w:val="000D0930"/>
    <w:rsid w:val="000D0DB0"/>
    <w:rsid w:val="000D16D2"/>
    <w:rsid w:val="000D1B56"/>
    <w:rsid w:val="000D28B3"/>
    <w:rsid w:val="000D29E7"/>
    <w:rsid w:val="000D3C84"/>
    <w:rsid w:val="000D3CFB"/>
    <w:rsid w:val="000D3EC8"/>
    <w:rsid w:val="000D4B5F"/>
    <w:rsid w:val="000D5F76"/>
    <w:rsid w:val="000D693E"/>
    <w:rsid w:val="000D736C"/>
    <w:rsid w:val="000D77F3"/>
    <w:rsid w:val="000D7A70"/>
    <w:rsid w:val="000E00F4"/>
    <w:rsid w:val="000E121B"/>
    <w:rsid w:val="000E171C"/>
    <w:rsid w:val="000E1A0C"/>
    <w:rsid w:val="000E2CC7"/>
    <w:rsid w:val="000E42B7"/>
    <w:rsid w:val="000E43B3"/>
    <w:rsid w:val="000E4CB9"/>
    <w:rsid w:val="000E69B1"/>
    <w:rsid w:val="000E70BE"/>
    <w:rsid w:val="000E7CD5"/>
    <w:rsid w:val="000F1354"/>
    <w:rsid w:val="000F20E7"/>
    <w:rsid w:val="000F21C8"/>
    <w:rsid w:val="000F2719"/>
    <w:rsid w:val="000F282E"/>
    <w:rsid w:val="000F2B1A"/>
    <w:rsid w:val="000F2C75"/>
    <w:rsid w:val="000F3140"/>
    <w:rsid w:val="000F31D6"/>
    <w:rsid w:val="000F32FE"/>
    <w:rsid w:val="000F38C6"/>
    <w:rsid w:val="000F3AF4"/>
    <w:rsid w:val="000F3F42"/>
    <w:rsid w:val="000F40CA"/>
    <w:rsid w:val="000F47EE"/>
    <w:rsid w:val="000F4D1E"/>
    <w:rsid w:val="000F4D34"/>
    <w:rsid w:val="000F521B"/>
    <w:rsid w:val="000F5E9E"/>
    <w:rsid w:val="000F6B81"/>
    <w:rsid w:val="00101767"/>
    <w:rsid w:val="00101C92"/>
    <w:rsid w:val="001028BD"/>
    <w:rsid w:val="001035E2"/>
    <w:rsid w:val="0010412B"/>
    <w:rsid w:val="001043C2"/>
    <w:rsid w:val="00105744"/>
    <w:rsid w:val="00105909"/>
    <w:rsid w:val="00106330"/>
    <w:rsid w:val="00106710"/>
    <w:rsid w:val="001076E3"/>
    <w:rsid w:val="00107750"/>
    <w:rsid w:val="00110226"/>
    <w:rsid w:val="00110DB2"/>
    <w:rsid w:val="00111170"/>
    <w:rsid w:val="0011133E"/>
    <w:rsid w:val="00111564"/>
    <w:rsid w:val="001115EC"/>
    <w:rsid w:val="00111886"/>
    <w:rsid w:val="001118F4"/>
    <w:rsid w:val="00111EF0"/>
    <w:rsid w:val="00112355"/>
    <w:rsid w:val="00112361"/>
    <w:rsid w:val="00112F3E"/>
    <w:rsid w:val="001130E1"/>
    <w:rsid w:val="00113502"/>
    <w:rsid w:val="00114257"/>
    <w:rsid w:val="0011582C"/>
    <w:rsid w:val="00115AE4"/>
    <w:rsid w:val="00116C7F"/>
    <w:rsid w:val="00116DE3"/>
    <w:rsid w:val="00116FD0"/>
    <w:rsid w:val="0012045D"/>
    <w:rsid w:val="00120C54"/>
    <w:rsid w:val="00121060"/>
    <w:rsid w:val="001211AB"/>
    <w:rsid w:val="0012132D"/>
    <w:rsid w:val="00121571"/>
    <w:rsid w:val="00121C63"/>
    <w:rsid w:val="00121CF3"/>
    <w:rsid w:val="00121D9F"/>
    <w:rsid w:val="0012483E"/>
    <w:rsid w:val="00124E32"/>
    <w:rsid w:val="001251A4"/>
    <w:rsid w:val="00125407"/>
    <w:rsid w:val="00125998"/>
    <w:rsid w:val="00125ED1"/>
    <w:rsid w:val="00125F8B"/>
    <w:rsid w:val="0012611D"/>
    <w:rsid w:val="0012637B"/>
    <w:rsid w:val="001265F1"/>
    <w:rsid w:val="00126636"/>
    <w:rsid w:val="00127940"/>
    <w:rsid w:val="00130F40"/>
    <w:rsid w:val="001311F0"/>
    <w:rsid w:val="00131BE4"/>
    <w:rsid w:val="00132E5D"/>
    <w:rsid w:val="001336D0"/>
    <w:rsid w:val="00133DC9"/>
    <w:rsid w:val="00135190"/>
    <w:rsid w:val="001360AA"/>
    <w:rsid w:val="00136EB4"/>
    <w:rsid w:val="001371B1"/>
    <w:rsid w:val="0013754A"/>
    <w:rsid w:val="00140474"/>
    <w:rsid w:val="00140982"/>
    <w:rsid w:val="00140FB1"/>
    <w:rsid w:val="00141120"/>
    <w:rsid w:val="00141620"/>
    <w:rsid w:val="001417A8"/>
    <w:rsid w:val="00142987"/>
    <w:rsid w:val="00143224"/>
    <w:rsid w:val="001438B3"/>
    <w:rsid w:val="00143E27"/>
    <w:rsid w:val="00143EC2"/>
    <w:rsid w:val="00144183"/>
    <w:rsid w:val="00145B5C"/>
    <w:rsid w:val="00145CEA"/>
    <w:rsid w:val="00146E26"/>
    <w:rsid w:val="0014756A"/>
    <w:rsid w:val="001501C4"/>
    <w:rsid w:val="0015029D"/>
    <w:rsid w:val="0015165B"/>
    <w:rsid w:val="00152868"/>
    <w:rsid w:val="00152FB7"/>
    <w:rsid w:val="00153805"/>
    <w:rsid w:val="00153888"/>
    <w:rsid w:val="00153F3B"/>
    <w:rsid w:val="00155BDA"/>
    <w:rsid w:val="00155D00"/>
    <w:rsid w:val="00155F87"/>
    <w:rsid w:val="00156D66"/>
    <w:rsid w:val="001574A3"/>
    <w:rsid w:val="00160412"/>
    <w:rsid w:val="00160418"/>
    <w:rsid w:val="0016092F"/>
    <w:rsid w:val="00160BC6"/>
    <w:rsid w:val="00161BDC"/>
    <w:rsid w:val="001629C5"/>
    <w:rsid w:val="00163005"/>
    <w:rsid w:val="0016304A"/>
    <w:rsid w:val="00163080"/>
    <w:rsid w:val="00164083"/>
    <w:rsid w:val="00164D43"/>
    <w:rsid w:val="0016512D"/>
    <w:rsid w:val="001655CD"/>
    <w:rsid w:val="0016611B"/>
    <w:rsid w:val="0016725E"/>
    <w:rsid w:val="00167D76"/>
    <w:rsid w:val="001703D1"/>
    <w:rsid w:val="001706E9"/>
    <w:rsid w:val="001708E4"/>
    <w:rsid w:val="00170CAE"/>
    <w:rsid w:val="00170E22"/>
    <w:rsid w:val="00171121"/>
    <w:rsid w:val="00171E3F"/>
    <w:rsid w:val="00172CA2"/>
    <w:rsid w:val="00173899"/>
    <w:rsid w:val="00174316"/>
    <w:rsid w:val="00175AC9"/>
    <w:rsid w:val="00175BF7"/>
    <w:rsid w:val="00176289"/>
    <w:rsid w:val="00176426"/>
    <w:rsid w:val="0017642A"/>
    <w:rsid w:val="00176B18"/>
    <w:rsid w:val="00177C73"/>
    <w:rsid w:val="001806A9"/>
    <w:rsid w:val="00180B81"/>
    <w:rsid w:val="00180DB5"/>
    <w:rsid w:val="001815B4"/>
    <w:rsid w:val="001822E6"/>
    <w:rsid w:val="00184D4F"/>
    <w:rsid w:val="00184DE4"/>
    <w:rsid w:val="00185F7F"/>
    <w:rsid w:val="00186BBD"/>
    <w:rsid w:val="00186C32"/>
    <w:rsid w:val="00187153"/>
    <w:rsid w:val="001879E1"/>
    <w:rsid w:val="0019082A"/>
    <w:rsid w:val="00190A95"/>
    <w:rsid w:val="001916D5"/>
    <w:rsid w:val="00191C32"/>
    <w:rsid w:val="00192621"/>
    <w:rsid w:val="00192919"/>
    <w:rsid w:val="00195DB8"/>
    <w:rsid w:val="00195FD4"/>
    <w:rsid w:val="00196D29"/>
    <w:rsid w:val="00197894"/>
    <w:rsid w:val="001A0F19"/>
    <w:rsid w:val="001A116F"/>
    <w:rsid w:val="001A146B"/>
    <w:rsid w:val="001A1990"/>
    <w:rsid w:val="001A1A04"/>
    <w:rsid w:val="001A29B1"/>
    <w:rsid w:val="001A2BA2"/>
    <w:rsid w:val="001A2DFC"/>
    <w:rsid w:val="001A2F6F"/>
    <w:rsid w:val="001A3188"/>
    <w:rsid w:val="001A487C"/>
    <w:rsid w:val="001A4977"/>
    <w:rsid w:val="001A5ED0"/>
    <w:rsid w:val="001A73B9"/>
    <w:rsid w:val="001A746D"/>
    <w:rsid w:val="001A75A1"/>
    <w:rsid w:val="001A7BD7"/>
    <w:rsid w:val="001B09A9"/>
    <w:rsid w:val="001B29F7"/>
    <w:rsid w:val="001B30A8"/>
    <w:rsid w:val="001B314F"/>
    <w:rsid w:val="001B3A85"/>
    <w:rsid w:val="001B3B26"/>
    <w:rsid w:val="001B438E"/>
    <w:rsid w:val="001B45A6"/>
    <w:rsid w:val="001B4C6A"/>
    <w:rsid w:val="001B4DBA"/>
    <w:rsid w:val="001B519C"/>
    <w:rsid w:val="001B53BB"/>
    <w:rsid w:val="001B5D49"/>
    <w:rsid w:val="001B6CC0"/>
    <w:rsid w:val="001B7499"/>
    <w:rsid w:val="001B74A2"/>
    <w:rsid w:val="001B7690"/>
    <w:rsid w:val="001B7DB9"/>
    <w:rsid w:val="001B7F6D"/>
    <w:rsid w:val="001C0AB8"/>
    <w:rsid w:val="001C1B93"/>
    <w:rsid w:val="001C1EA7"/>
    <w:rsid w:val="001C2689"/>
    <w:rsid w:val="001C2720"/>
    <w:rsid w:val="001C2CAF"/>
    <w:rsid w:val="001C34F7"/>
    <w:rsid w:val="001C3646"/>
    <w:rsid w:val="001C3943"/>
    <w:rsid w:val="001C3BEE"/>
    <w:rsid w:val="001C3D6C"/>
    <w:rsid w:val="001C404A"/>
    <w:rsid w:val="001C4238"/>
    <w:rsid w:val="001C4396"/>
    <w:rsid w:val="001C4B78"/>
    <w:rsid w:val="001C4BC7"/>
    <w:rsid w:val="001C5006"/>
    <w:rsid w:val="001C56DD"/>
    <w:rsid w:val="001C6744"/>
    <w:rsid w:val="001C6C7A"/>
    <w:rsid w:val="001D11BD"/>
    <w:rsid w:val="001D1A65"/>
    <w:rsid w:val="001D1A90"/>
    <w:rsid w:val="001D2654"/>
    <w:rsid w:val="001D2FC9"/>
    <w:rsid w:val="001D36F3"/>
    <w:rsid w:val="001D3D94"/>
    <w:rsid w:val="001D4121"/>
    <w:rsid w:val="001D54E2"/>
    <w:rsid w:val="001D5948"/>
    <w:rsid w:val="001D59AE"/>
    <w:rsid w:val="001D72B9"/>
    <w:rsid w:val="001E064B"/>
    <w:rsid w:val="001E0F30"/>
    <w:rsid w:val="001E2957"/>
    <w:rsid w:val="001E36B1"/>
    <w:rsid w:val="001E3BCE"/>
    <w:rsid w:val="001E42AF"/>
    <w:rsid w:val="001E480F"/>
    <w:rsid w:val="001E4A6E"/>
    <w:rsid w:val="001E4A92"/>
    <w:rsid w:val="001E4AEC"/>
    <w:rsid w:val="001E53CE"/>
    <w:rsid w:val="001E5651"/>
    <w:rsid w:val="001E759B"/>
    <w:rsid w:val="001E7BAE"/>
    <w:rsid w:val="001F015F"/>
    <w:rsid w:val="001F05BD"/>
    <w:rsid w:val="001F1EA5"/>
    <w:rsid w:val="001F44C1"/>
    <w:rsid w:val="001F4A57"/>
    <w:rsid w:val="001F55E4"/>
    <w:rsid w:val="001F55E7"/>
    <w:rsid w:val="001F5971"/>
    <w:rsid w:val="001F606A"/>
    <w:rsid w:val="001F772C"/>
    <w:rsid w:val="001F773C"/>
    <w:rsid w:val="002001D1"/>
    <w:rsid w:val="00200949"/>
    <w:rsid w:val="00200D2B"/>
    <w:rsid w:val="00201A0C"/>
    <w:rsid w:val="00201A3C"/>
    <w:rsid w:val="00202AD5"/>
    <w:rsid w:val="00202DA8"/>
    <w:rsid w:val="00202F95"/>
    <w:rsid w:val="00203E92"/>
    <w:rsid w:val="002042D0"/>
    <w:rsid w:val="00204622"/>
    <w:rsid w:val="00204A86"/>
    <w:rsid w:val="002050BF"/>
    <w:rsid w:val="00205393"/>
    <w:rsid w:val="002053A3"/>
    <w:rsid w:val="0020584F"/>
    <w:rsid w:val="0020632A"/>
    <w:rsid w:val="00206D69"/>
    <w:rsid w:val="00207B36"/>
    <w:rsid w:val="00210083"/>
    <w:rsid w:val="00210362"/>
    <w:rsid w:val="002103BD"/>
    <w:rsid w:val="002105DB"/>
    <w:rsid w:val="00212DC5"/>
    <w:rsid w:val="002142B9"/>
    <w:rsid w:val="002156AC"/>
    <w:rsid w:val="00216058"/>
    <w:rsid w:val="00216661"/>
    <w:rsid w:val="00216C4C"/>
    <w:rsid w:val="00220A8B"/>
    <w:rsid w:val="00221020"/>
    <w:rsid w:val="002211C7"/>
    <w:rsid w:val="0022156C"/>
    <w:rsid w:val="002215D0"/>
    <w:rsid w:val="00222C9E"/>
    <w:rsid w:val="00223AA1"/>
    <w:rsid w:val="00224BA3"/>
    <w:rsid w:val="00225117"/>
    <w:rsid w:val="00225E00"/>
    <w:rsid w:val="00226DBB"/>
    <w:rsid w:val="00227F6E"/>
    <w:rsid w:val="00230636"/>
    <w:rsid w:val="0023115F"/>
    <w:rsid w:val="00231D80"/>
    <w:rsid w:val="00233A0C"/>
    <w:rsid w:val="002352D6"/>
    <w:rsid w:val="00236583"/>
    <w:rsid w:val="00237C3B"/>
    <w:rsid w:val="00240865"/>
    <w:rsid w:val="00240A53"/>
    <w:rsid w:val="00240D6E"/>
    <w:rsid w:val="00240F3A"/>
    <w:rsid w:val="00242644"/>
    <w:rsid w:val="00242D39"/>
    <w:rsid w:val="00243397"/>
    <w:rsid w:val="002434E0"/>
    <w:rsid w:val="00243889"/>
    <w:rsid w:val="00243B7C"/>
    <w:rsid w:val="00243C6F"/>
    <w:rsid w:val="00244280"/>
    <w:rsid w:val="002449E4"/>
    <w:rsid w:val="00244AE6"/>
    <w:rsid w:val="00244CC2"/>
    <w:rsid w:val="00244D1B"/>
    <w:rsid w:val="00245059"/>
    <w:rsid w:val="00245A43"/>
    <w:rsid w:val="00246A16"/>
    <w:rsid w:val="00246BCD"/>
    <w:rsid w:val="0024700C"/>
    <w:rsid w:val="002478B0"/>
    <w:rsid w:val="00250CEB"/>
    <w:rsid w:val="00250DD9"/>
    <w:rsid w:val="00250DDE"/>
    <w:rsid w:val="00251495"/>
    <w:rsid w:val="002517C5"/>
    <w:rsid w:val="002519C8"/>
    <w:rsid w:val="002541B0"/>
    <w:rsid w:val="002544C6"/>
    <w:rsid w:val="00254CD2"/>
    <w:rsid w:val="0025594D"/>
    <w:rsid w:val="00256994"/>
    <w:rsid w:val="00260577"/>
    <w:rsid w:val="0026108F"/>
    <w:rsid w:val="00264382"/>
    <w:rsid w:val="002645CB"/>
    <w:rsid w:val="00265435"/>
    <w:rsid w:val="0026597E"/>
    <w:rsid w:val="00265EA7"/>
    <w:rsid w:val="00265FB9"/>
    <w:rsid w:val="002665F3"/>
    <w:rsid w:val="00267018"/>
    <w:rsid w:val="00267684"/>
    <w:rsid w:val="00271D97"/>
    <w:rsid w:val="00273804"/>
    <w:rsid w:val="00273E73"/>
    <w:rsid w:val="00274F85"/>
    <w:rsid w:val="0027550D"/>
    <w:rsid w:val="00276341"/>
    <w:rsid w:val="002764D7"/>
    <w:rsid w:val="002766E6"/>
    <w:rsid w:val="00276AE3"/>
    <w:rsid w:val="002771A4"/>
    <w:rsid w:val="00277714"/>
    <w:rsid w:val="00277780"/>
    <w:rsid w:val="0027786A"/>
    <w:rsid w:val="00277F68"/>
    <w:rsid w:val="002804C9"/>
    <w:rsid w:val="00280C58"/>
    <w:rsid w:val="00280FE2"/>
    <w:rsid w:val="00281620"/>
    <w:rsid w:val="00281C81"/>
    <w:rsid w:val="00281D4D"/>
    <w:rsid w:val="00281E46"/>
    <w:rsid w:val="002821A6"/>
    <w:rsid w:val="00283104"/>
    <w:rsid w:val="002847F5"/>
    <w:rsid w:val="00285096"/>
    <w:rsid w:val="002854B6"/>
    <w:rsid w:val="002855A2"/>
    <w:rsid w:val="002856CC"/>
    <w:rsid w:val="00286317"/>
    <w:rsid w:val="002863D6"/>
    <w:rsid w:val="00287B06"/>
    <w:rsid w:val="00287D82"/>
    <w:rsid w:val="00290853"/>
    <w:rsid w:val="00290970"/>
    <w:rsid w:val="0029172F"/>
    <w:rsid w:val="002917AE"/>
    <w:rsid w:val="00291866"/>
    <w:rsid w:val="0029192D"/>
    <w:rsid w:val="002922E4"/>
    <w:rsid w:val="002928BD"/>
    <w:rsid w:val="002931BB"/>
    <w:rsid w:val="002943A2"/>
    <w:rsid w:val="00294C51"/>
    <w:rsid w:val="00295C35"/>
    <w:rsid w:val="00296457"/>
    <w:rsid w:val="00296BA9"/>
    <w:rsid w:val="00296F64"/>
    <w:rsid w:val="002A0D67"/>
    <w:rsid w:val="002A10B0"/>
    <w:rsid w:val="002A349F"/>
    <w:rsid w:val="002A3663"/>
    <w:rsid w:val="002A38BD"/>
    <w:rsid w:val="002A3CFE"/>
    <w:rsid w:val="002A568B"/>
    <w:rsid w:val="002A5A84"/>
    <w:rsid w:val="002A61BF"/>
    <w:rsid w:val="002A6844"/>
    <w:rsid w:val="002B0D47"/>
    <w:rsid w:val="002B1ED9"/>
    <w:rsid w:val="002B23F8"/>
    <w:rsid w:val="002B2466"/>
    <w:rsid w:val="002B25B4"/>
    <w:rsid w:val="002B2B05"/>
    <w:rsid w:val="002B5BB6"/>
    <w:rsid w:val="002B6ABC"/>
    <w:rsid w:val="002B7D05"/>
    <w:rsid w:val="002C19BF"/>
    <w:rsid w:val="002C249C"/>
    <w:rsid w:val="002C3BA8"/>
    <w:rsid w:val="002C3F17"/>
    <w:rsid w:val="002C48F6"/>
    <w:rsid w:val="002C4A0B"/>
    <w:rsid w:val="002C5242"/>
    <w:rsid w:val="002C5EC2"/>
    <w:rsid w:val="002C6B2E"/>
    <w:rsid w:val="002C708A"/>
    <w:rsid w:val="002C77AB"/>
    <w:rsid w:val="002C7A34"/>
    <w:rsid w:val="002C7C4A"/>
    <w:rsid w:val="002D1536"/>
    <w:rsid w:val="002D172B"/>
    <w:rsid w:val="002D1F4E"/>
    <w:rsid w:val="002D21D0"/>
    <w:rsid w:val="002D2945"/>
    <w:rsid w:val="002D4451"/>
    <w:rsid w:val="002D4BED"/>
    <w:rsid w:val="002D4ED1"/>
    <w:rsid w:val="002D61F2"/>
    <w:rsid w:val="002D6440"/>
    <w:rsid w:val="002D682C"/>
    <w:rsid w:val="002D68AA"/>
    <w:rsid w:val="002D6949"/>
    <w:rsid w:val="002D7A2D"/>
    <w:rsid w:val="002D7C91"/>
    <w:rsid w:val="002E0392"/>
    <w:rsid w:val="002E052C"/>
    <w:rsid w:val="002E11AB"/>
    <w:rsid w:val="002E12D1"/>
    <w:rsid w:val="002E159B"/>
    <w:rsid w:val="002E1FD4"/>
    <w:rsid w:val="002E23E6"/>
    <w:rsid w:val="002E34CE"/>
    <w:rsid w:val="002E3889"/>
    <w:rsid w:val="002E3BDC"/>
    <w:rsid w:val="002E4867"/>
    <w:rsid w:val="002E4B71"/>
    <w:rsid w:val="002E56ED"/>
    <w:rsid w:val="002E6394"/>
    <w:rsid w:val="002E646C"/>
    <w:rsid w:val="002E6734"/>
    <w:rsid w:val="002F0F25"/>
    <w:rsid w:val="002F16AC"/>
    <w:rsid w:val="002F1CF2"/>
    <w:rsid w:val="002F1E08"/>
    <w:rsid w:val="002F24BD"/>
    <w:rsid w:val="002F2F27"/>
    <w:rsid w:val="002F3290"/>
    <w:rsid w:val="002F3800"/>
    <w:rsid w:val="002F46B1"/>
    <w:rsid w:val="002F4E6A"/>
    <w:rsid w:val="002F5421"/>
    <w:rsid w:val="002F5968"/>
    <w:rsid w:val="002F5BBB"/>
    <w:rsid w:val="002F5BFF"/>
    <w:rsid w:val="002F5EBA"/>
    <w:rsid w:val="002F6211"/>
    <w:rsid w:val="002F6B1D"/>
    <w:rsid w:val="002F7871"/>
    <w:rsid w:val="002F7B91"/>
    <w:rsid w:val="003005F0"/>
    <w:rsid w:val="003019CA"/>
    <w:rsid w:val="00301AF1"/>
    <w:rsid w:val="00301FFF"/>
    <w:rsid w:val="003022CD"/>
    <w:rsid w:val="00302642"/>
    <w:rsid w:val="0030383B"/>
    <w:rsid w:val="003042EA"/>
    <w:rsid w:val="003043D3"/>
    <w:rsid w:val="0030441B"/>
    <w:rsid w:val="00304855"/>
    <w:rsid w:val="00304F7B"/>
    <w:rsid w:val="00305886"/>
    <w:rsid w:val="0030595C"/>
    <w:rsid w:val="0030695A"/>
    <w:rsid w:val="00306B31"/>
    <w:rsid w:val="00307025"/>
    <w:rsid w:val="003072A2"/>
    <w:rsid w:val="00307A00"/>
    <w:rsid w:val="00307F60"/>
    <w:rsid w:val="00311774"/>
    <w:rsid w:val="00312036"/>
    <w:rsid w:val="00312130"/>
    <w:rsid w:val="00312501"/>
    <w:rsid w:val="0031352E"/>
    <w:rsid w:val="00313A9F"/>
    <w:rsid w:val="00313ACF"/>
    <w:rsid w:val="00314128"/>
    <w:rsid w:val="0031496B"/>
    <w:rsid w:val="0031557F"/>
    <w:rsid w:val="00315831"/>
    <w:rsid w:val="00315D20"/>
    <w:rsid w:val="00316CAD"/>
    <w:rsid w:val="00316E8C"/>
    <w:rsid w:val="003174A9"/>
    <w:rsid w:val="00317C2E"/>
    <w:rsid w:val="00317E5E"/>
    <w:rsid w:val="003204B3"/>
    <w:rsid w:val="003207FC"/>
    <w:rsid w:val="00320A50"/>
    <w:rsid w:val="00321415"/>
    <w:rsid w:val="00321504"/>
    <w:rsid w:val="003219A8"/>
    <w:rsid w:val="0032326A"/>
    <w:rsid w:val="00323979"/>
    <w:rsid w:val="00323AF2"/>
    <w:rsid w:val="00324971"/>
    <w:rsid w:val="00324A0A"/>
    <w:rsid w:val="00324BBC"/>
    <w:rsid w:val="00324D2F"/>
    <w:rsid w:val="003267B0"/>
    <w:rsid w:val="00326E0F"/>
    <w:rsid w:val="003273B2"/>
    <w:rsid w:val="0033024E"/>
    <w:rsid w:val="00331581"/>
    <w:rsid w:val="003318EA"/>
    <w:rsid w:val="00331CC0"/>
    <w:rsid w:val="00332142"/>
    <w:rsid w:val="0033261E"/>
    <w:rsid w:val="00332BA8"/>
    <w:rsid w:val="00332C3D"/>
    <w:rsid w:val="00332CA1"/>
    <w:rsid w:val="003335BD"/>
    <w:rsid w:val="00333BB2"/>
    <w:rsid w:val="003341D8"/>
    <w:rsid w:val="0033458A"/>
    <w:rsid w:val="00334615"/>
    <w:rsid w:val="00334BA7"/>
    <w:rsid w:val="0033580F"/>
    <w:rsid w:val="00335B16"/>
    <w:rsid w:val="00336CC5"/>
    <w:rsid w:val="00336E00"/>
    <w:rsid w:val="00336F03"/>
    <w:rsid w:val="00336F39"/>
    <w:rsid w:val="003371D0"/>
    <w:rsid w:val="00340103"/>
    <w:rsid w:val="003403FE"/>
    <w:rsid w:val="003404E0"/>
    <w:rsid w:val="003406AC"/>
    <w:rsid w:val="0034184B"/>
    <w:rsid w:val="0034266C"/>
    <w:rsid w:val="00342A03"/>
    <w:rsid w:val="00342B49"/>
    <w:rsid w:val="00344878"/>
    <w:rsid w:val="0034530B"/>
    <w:rsid w:val="00345C9E"/>
    <w:rsid w:val="00347657"/>
    <w:rsid w:val="003506F7"/>
    <w:rsid w:val="00352E22"/>
    <w:rsid w:val="00354244"/>
    <w:rsid w:val="003542CE"/>
    <w:rsid w:val="00354623"/>
    <w:rsid w:val="00355BAB"/>
    <w:rsid w:val="00357617"/>
    <w:rsid w:val="003578F6"/>
    <w:rsid w:val="00357DDD"/>
    <w:rsid w:val="003607EF"/>
    <w:rsid w:val="00361396"/>
    <w:rsid w:val="00363604"/>
    <w:rsid w:val="00363FA7"/>
    <w:rsid w:val="00364A5E"/>
    <w:rsid w:val="00364D3B"/>
    <w:rsid w:val="00364F3D"/>
    <w:rsid w:val="00364FBB"/>
    <w:rsid w:val="00366552"/>
    <w:rsid w:val="00367231"/>
    <w:rsid w:val="003676D1"/>
    <w:rsid w:val="00367ADF"/>
    <w:rsid w:val="00367B29"/>
    <w:rsid w:val="003701F4"/>
    <w:rsid w:val="0037042E"/>
    <w:rsid w:val="003704E6"/>
    <w:rsid w:val="00370A81"/>
    <w:rsid w:val="00371060"/>
    <w:rsid w:val="003714CC"/>
    <w:rsid w:val="00371EA0"/>
    <w:rsid w:val="003725F0"/>
    <w:rsid w:val="00372DE3"/>
    <w:rsid w:val="00372F92"/>
    <w:rsid w:val="00373389"/>
    <w:rsid w:val="00373580"/>
    <w:rsid w:val="00373DA1"/>
    <w:rsid w:val="003741C0"/>
    <w:rsid w:val="003749ED"/>
    <w:rsid w:val="00374BFC"/>
    <w:rsid w:val="00374EB5"/>
    <w:rsid w:val="00374FEE"/>
    <w:rsid w:val="00375C0A"/>
    <w:rsid w:val="003761EB"/>
    <w:rsid w:val="0037754E"/>
    <w:rsid w:val="00377F31"/>
    <w:rsid w:val="003800FB"/>
    <w:rsid w:val="0038032C"/>
    <w:rsid w:val="00380386"/>
    <w:rsid w:val="00380986"/>
    <w:rsid w:val="00380FF1"/>
    <w:rsid w:val="003810AF"/>
    <w:rsid w:val="003818A9"/>
    <w:rsid w:val="00381EBF"/>
    <w:rsid w:val="003825E5"/>
    <w:rsid w:val="00383022"/>
    <w:rsid w:val="003834B7"/>
    <w:rsid w:val="00383C2D"/>
    <w:rsid w:val="00385059"/>
    <w:rsid w:val="003855C4"/>
    <w:rsid w:val="00385A6D"/>
    <w:rsid w:val="00385C4F"/>
    <w:rsid w:val="00385FB5"/>
    <w:rsid w:val="003869CE"/>
    <w:rsid w:val="00387036"/>
    <w:rsid w:val="003902F2"/>
    <w:rsid w:val="0039109F"/>
    <w:rsid w:val="00391FD4"/>
    <w:rsid w:val="00392219"/>
    <w:rsid w:val="00392256"/>
    <w:rsid w:val="00393217"/>
    <w:rsid w:val="0039368E"/>
    <w:rsid w:val="00394694"/>
    <w:rsid w:val="003951DB"/>
    <w:rsid w:val="003951F0"/>
    <w:rsid w:val="00396475"/>
    <w:rsid w:val="003968A6"/>
    <w:rsid w:val="00396AFF"/>
    <w:rsid w:val="00397D5B"/>
    <w:rsid w:val="00397E5D"/>
    <w:rsid w:val="003A0E95"/>
    <w:rsid w:val="003A0FD7"/>
    <w:rsid w:val="003A1144"/>
    <w:rsid w:val="003A2C96"/>
    <w:rsid w:val="003A378B"/>
    <w:rsid w:val="003A3B6C"/>
    <w:rsid w:val="003A3E0A"/>
    <w:rsid w:val="003A4F91"/>
    <w:rsid w:val="003A50A5"/>
    <w:rsid w:val="003A5F92"/>
    <w:rsid w:val="003A6156"/>
    <w:rsid w:val="003A6B2D"/>
    <w:rsid w:val="003A7CCA"/>
    <w:rsid w:val="003B0835"/>
    <w:rsid w:val="003B203E"/>
    <w:rsid w:val="003B2190"/>
    <w:rsid w:val="003B22C1"/>
    <w:rsid w:val="003B2479"/>
    <w:rsid w:val="003B3885"/>
    <w:rsid w:val="003B3E71"/>
    <w:rsid w:val="003B4237"/>
    <w:rsid w:val="003B44F6"/>
    <w:rsid w:val="003B4822"/>
    <w:rsid w:val="003B5097"/>
    <w:rsid w:val="003B5154"/>
    <w:rsid w:val="003B585F"/>
    <w:rsid w:val="003B68C8"/>
    <w:rsid w:val="003B6A7E"/>
    <w:rsid w:val="003B78D7"/>
    <w:rsid w:val="003B7A99"/>
    <w:rsid w:val="003C03A6"/>
    <w:rsid w:val="003C0AB0"/>
    <w:rsid w:val="003C1070"/>
    <w:rsid w:val="003C1663"/>
    <w:rsid w:val="003C1929"/>
    <w:rsid w:val="003C2198"/>
    <w:rsid w:val="003C2395"/>
    <w:rsid w:val="003C2FC8"/>
    <w:rsid w:val="003C33C9"/>
    <w:rsid w:val="003C4C18"/>
    <w:rsid w:val="003C5863"/>
    <w:rsid w:val="003C5981"/>
    <w:rsid w:val="003C5F7D"/>
    <w:rsid w:val="003C6697"/>
    <w:rsid w:val="003C79F6"/>
    <w:rsid w:val="003C7C30"/>
    <w:rsid w:val="003D01EF"/>
    <w:rsid w:val="003D0701"/>
    <w:rsid w:val="003D0965"/>
    <w:rsid w:val="003D0AA2"/>
    <w:rsid w:val="003D0C68"/>
    <w:rsid w:val="003D2082"/>
    <w:rsid w:val="003D23A5"/>
    <w:rsid w:val="003D30F6"/>
    <w:rsid w:val="003D3294"/>
    <w:rsid w:val="003D3A38"/>
    <w:rsid w:val="003D3B11"/>
    <w:rsid w:val="003D3C25"/>
    <w:rsid w:val="003D43DA"/>
    <w:rsid w:val="003D4CB8"/>
    <w:rsid w:val="003D4E2F"/>
    <w:rsid w:val="003D5D4A"/>
    <w:rsid w:val="003D613C"/>
    <w:rsid w:val="003D6B84"/>
    <w:rsid w:val="003D72E1"/>
    <w:rsid w:val="003D7559"/>
    <w:rsid w:val="003D784D"/>
    <w:rsid w:val="003D79F8"/>
    <w:rsid w:val="003E0212"/>
    <w:rsid w:val="003E02A5"/>
    <w:rsid w:val="003E14AA"/>
    <w:rsid w:val="003E1F62"/>
    <w:rsid w:val="003E265F"/>
    <w:rsid w:val="003E3298"/>
    <w:rsid w:val="003E3BB0"/>
    <w:rsid w:val="003E3DAE"/>
    <w:rsid w:val="003E4593"/>
    <w:rsid w:val="003E49CE"/>
    <w:rsid w:val="003E50FF"/>
    <w:rsid w:val="003E58D4"/>
    <w:rsid w:val="003E6A0C"/>
    <w:rsid w:val="003E7376"/>
    <w:rsid w:val="003F0038"/>
    <w:rsid w:val="003F09A0"/>
    <w:rsid w:val="003F2323"/>
    <w:rsid w:val="003F24F4"/>
    <w:rsid w:val="003F2FA5"/>
    <w:rsid w:val="003F31AE"/>
    <w:rsid w:val="003F375E"/>
    <w:rsid w:val="003F39A6"/>
    <w:rsid w:val="003F4697"/>
    <w:rsid w:val="003F474E"/>
    <w:rsid w:val="003F50EA"/>
    <w:rsid w:val="003F545B"/>
    <w:rsid w:val="003F5A30"/>
    <w:rsid w:val="003F6986"/>
    <w:rsid w:val="003F6A72"/>
    <w:rsid w:val="003F796D"/>
    <w:rsid w:val="003F7DBF"/>
    <w:rsid w:val="003F7F96"/>
    <w:rsid w:val="00400480"/>
    <w:rsid w:val="0040091B"/>
    <w:rsid w:val="00402501"/>
    <w:rsid w:val="004027BC"/>
    <w:rsid w:val="00402DA3"/>
    <w:rsid w:val="00403938"/>
    <w:rsid w:val="00403E60"/>
    <w:rsid w:val="00404861"/>
    <w:rsid w:val="00405017"/>
    <w:rsid w:val="00405720"/>
    <w:rsid w:val="00405E81"/>
    <w:rsid w:val="00406E71"/>
    <w:rsid w:val="00406F63"/>
    <w:rsid w:val="004072CE"/>
    <w:rsid w:val="00407913"/>
    <w:rsid w:val="00407C88"/>
    <w:rsid w:val="00410740"/>
    <w:rsid w:val="004107CF"/>
    <w:rsid w:val="00410C25"/>
    <w:rsid w:val="0041183B"/>
    <w:rsid w:val="004123C2"/>
    <w:rsid w:val="004129D3"/>
    <w:rsid w:val="00412A07"/>
    <w:rsid w:val="00413760"/>
    <w:rsid w:val="004151FE"/>
    <w:rsid w:val="00415884"/>
    <w:rsid w:val="004162F0"/>
    <w:rsid w:val="00417467"/>
    <w:rsid w:val="00417A0E"/>
    <w:rsid w:val="004203AC"/>
    <w:rsid w:val="00421841"/>
    <w:rsid w:val="00421992"/>
    <w:rsid w:val="00422108"/>
    <w:rsid w:val="00422BCF"/>
    <w:rsid w:val="00422E61"/>
    <w:rsid w:val="0042308D"/>
    <w:rsid w:val="00424397"/>
    <w:rsid w:val="00425502"/>
    <w:rsid w:val="004258E2"/>
    <w:rsid w:val="00425AED"/>
    <w:rsid w:val="00426154"/>
    <w:rsid w:val="00426367"/>
    <w:rsid w:val="00427897"/>
    <w:rsid w:val="004300D8"/>
    <w:rsid w:val="00430865"/>
    <w:rsid w:val="00430B84"/>
    <w:rsid w:val="0043178E"/>
    <w:rsid w:val="004317CE"/>
    <w:rsid w:val="00432042"/>
    <w:rsid w:val="0043350B"/>
    <w:rsid w:val="00434430"/>
    <w:rsid w:val="00434529"/>
    <w:rsid w:val="00434A10"/>
    <w:rsid w:val="00434ECE"/>
    <w:rsid w:val="00435892"/>
    <w:rsid w:val="00435FB1"/>
    <w:rsid w:val="00436459"/>
    <w:rsid w:val="0043723D"/>
    <w:rsid w:val="0043772F"/>
    <w:rsid w:val="0044107F"/>
    <w:rsid w:val="00441267"/>
    <w:rsid w:val="00443084"/>
    <w:rsid w:val="00443615"/>
    <w:rsid w:val="00443A8B"/>
    <w:rsid w:val="00443E79"/>
    <w:rsid w:val="00443EBC"/>
    <w:rsid w:val="00444317"/>
    <w:rsid w:val="00445CB7"/>
    <w:rsid w:val="00446971"/>
    <w:rsid w:val="00446C9F"/>
    <w:rsid w:val="004509E3"/>
    <w:rsid w:val="00450B0B"/>
    <w:rsid w:val="00450B24"/>
    <w:rsid w:val="00451240"/>
    <w:rsid w:val="004515DC"/>
    <w:rsid w:val="0045245B"/>
    <w:rsid w:val="00452AFA"/>
    <w:rsid w:val="00454138"/>
    <w:rsid w:val="004543C4"/>
    <w:rsid w:val="00454FED"/>
    <w:rsid w:val="004553A7"/>
    <w:rsid w:val="0045594E"/>
    <w:rsid w:val="00456836"/>
    <w:rsid w:val="00456BAF"/>
    <w:rsid w:val="00456BBC"/>
    <w:rsid w:val="00456FBC"/>
    <w:rsid w:val="00457C57"/>
    <w:rsid w:val="00457DE8"/>
    <w:rsid w:val="004600AD"/>
    <w:rsid w:val="00461244"/>
    <w:rsid w:val="00461F06"/>
    <w:rsid w:val="00461FD1"/>
    <w:rsid w:val="004621A7"/>
    <w:rsid w:val="004627F8"/>
    <w:rsid w:val="00462C9E"/>
    <w:rsid w:val="004632E4"/>
    <w:rsid w:val="0046396F"/>
    <w:rsid w:val="00463CFB"/>
    <w:rsid w:val="004644DD"/>
    <w:rsid w:val="00465082"/>
    <w:rsid w:val="00465D0A"/>
    <w:rsid w:val="00466C58"/>
    <w:rsid w:val="00466E69"/>
    <w:rsid w:val="00466ED4"/>
    <w:rsid w:val="004671F5"/>
    <w:rsid w:val="00467C16"/>
    <w:rsid w:val="00467CB0"/>
    <w:rsid w:val="004703E6"/>
    <w:rsid w:val="00470D2E"/>
    <w:rsid w:val="00470E86"/>
    <w:rsid w:val="004715E5"/>
    <w:rsid w:val="00471ECB"/>
    <w:rsid w:val="0047266C"/>
    <w:rsid w:val="0047297D"/>
    <w:rsid w:val="00472EAF"/>
    <w:rsid w:val="004738AD"/>
    <w:rsid w:val="004747E6"/>
    <w:rsid w:val="00474880"/>
    <w:rsid w:val="0047493F"/>
    <w:rsid w:val="004756DC"/>
    <w:rsid w:val="004762A7"/>
    <w:rsid w:val="00477E4A"/>
    <w:rsid w:val="00480008"/>
    <w:rsid w:val="00481F5F"/>
    <w:rsid w:val="00481FDA"/>
    <w:rsid w:val="00482D53"/>
    <w:rsid w:val="00483BD6"/>
    <w:rsid w:val="00483E09"/>
    <w:rsid w:val="00484195"/>
    <w:rsid w:val="0048421E"/>
    <w:rsid w:val="004846BC"/>
    <w:rsid w:val="00484E3F"/>
    <w:rsid w:val="00484FE8"/>
    <w:rsid w:val="004854C4"/>
    <w:rsid w:val="0048672C"/>
    <w:rsid w:val="004877E6"/>
    <w:rsid w:val="00487B90"/>
    <w:rsid w:val="00487E64"/>
    <w:rsid w:val="004902EF"/>
    <w:rsid w:val="004908B8"/>
    <w:rsid w:val="00490A66"/>
    <w:rsid w:val="00491B20"/>
    <w:rsid w:val="00492AD4"/>
    <w:rsid w:val="00492BB3"/>
    <w:rsid w:val="00492BC5"/>
    <w:rsid w:val="00492D24"/>
    <w:rsid w:val="00492E3C"/>
    <w:rsid w:val="004933C7"/>
    <w:rsid w:val="00493868"/>
    <w:rsid w:val="00494366"/>
    <w:rsid w:val="004948C2"/>
    <w:rsid w:val="00494BBC"/>
    <w:rsid w:val="00496230"/>
    <w:rsid w:val="00496764"/>
    <w:rsid w:val="00496BC8"/>
    <w:rsid w:val="00496D73"/>
    <w:rsid w:val="00497062"/>
    <w:rsid w:val="00497560"/>
    <w:rsid w:val="004A17E6"/>
    <w:rsid w:val="004A188F"/>
    <w:rsid w:val="004A320F"/>
    <w:rsid w:val="004A43AC"/>
    <w:rsid w:val="004A4593"/>
    <w:rsid w:val="004A4A3C"/>
    <w:rsid w:val="004A4E92"/>
    <w:rsid w:val="004A59EC"/>
    <w:rsid w:val="004A5AA9"/>
    <w:rsid w:val="004A5AD2"/>
    <w:rsid w:val="004A5BF6"/>
    <w:rsid w:val="004A5DA4"/>
    <w:rsid w:val="004A6135"/>
    <w:rsid w:val="004A6489"/>
    <w:rsid w:val="004A652F"/>
    <w:rsid w:val="004A6548"/>
    <w:rsid w:val="004A7165"/>
    <w:rsid w:val="004A72D6"/>
    <w:rsid w:val="004A7B90"/>
    <w:rsid w:val="004A7E2E"/>
    <w:rsid w:val="004B0320"/>
    <w:rsid w:val="004B096F"/>
    <w:rsid w:val="004B1478"/>
    <w:rsid w:val="004B1607"/>
    <w:rsid w:val="004B3053"/>
    <w:rsid w:val="004B3582"/>
    <w:rsid w:val="004B4155"/>
    <w:rsid w:val="004B4773"/>
    <w:rsid w:val="004B4AF8"/>
    <w:rsid w:val="004B4BCE"/>
    <w:rsid w:val="004B4F7B"/>
    <w:rsid w:val="004B5B8E"/>
    <w:rsid w:val="004B6410"/>
    <w:rsid w:val="004B6860"/>
    <w:rsid w:val="004B7262"/>
    <w:rsid w:val="004B742F"/>
    <w:rsid w:val="004B7FBF"/>
    <w:rsid w:val="004C006E"/>
    <w:rsid w:val="004C1C3E"/>
    <w:rsid w:val="004C1D9E"/>
    <w:rsid w:val="004C21A8"/>
    <w:rsid w:val="004C308F"/>
    <w:rsid w:val="004C3919"/>
    <w:rsid w:val="004C3979"/>
    <w:rsid w:val="004C4692"/>
    <w:rsid w:val="004C5D2A"/>
    <w:rsid w:val="004C5E43"/>
    <w:rsid w:val="004C6C9F"/>
    <w:rsid w:val="004C6DC8"/>
    <w:rsid w:val="004D0941"/>
    <w:rsid w:val="004D1288"/>
    <w:rsid w:val="004D1AB8"/>
    <w:rsid w:val="004D1F50"/>
    <w:rsid w:val="004D291F"/>
    <w:rsid w:val="004D2AA7"/>
    <w:rsid w:val="004D2BB1"/>
    <w:rsid w:val="004D2DBA"/>
    <w:rsid w:val="004D2F94"/>
    <w:rsid w:val="004D352E"/>
    <w:rsid w:val="004D3B6B"/>
    <w:rsid w:val="004D446B"/>
    <w:rsid w:val="004D48FF"/>
    <w:rsid w:val="004D4964"/>
    <w:rsid w:val="004D4CF4"/>
    <w:rsid w:val="004D55F9"/>
    <w:rsid w:val="004D57B0"/>
    <w:rsid w:val="004D5C72"/>
    <w:rsid w:val="004D60D5"/>
    <w:rsid w:val="004D6645"/>
    <w:rsid w:val="004D69E1"/>
    <w:rsid w:val="004E1077"/>
    <w:rsid w:val="004E1A0E"/>
    <w:rsid w:val="004E2265"/>
    <w:rsid w:val="004E37CA"/>
    <w:rsid w:val="004E3823"/>
    <w:rsid w:val="004E39BF"/>
    <w:rsid w:val="004E3C14"/>
    <w:rsid w:val="004E4276"/>
    <w:rsid w:val="004E51DA"/>
    <w:rsid w:val="004E5325"/>
    <w:rsid w:val="004E5B19"/>
    <w:rsid w:val="004E5BE4"/>
    <w:rsid w:val="004E6A34"/>
    <w:rsid w:val="004E7E70"/>
    <w:rsid w:val="004F1FF7"/>
    <w:rsid w:val="004F2CD1"/>
    <w:rsid w:val="004F526C"/>
    <w:rsid w:val="004F648B"/>
    <w:rsid w:val="004F665F"/>
    <w:rsid w:val="004F6FBD"/>
    <w:rsid w:val="004F74F2"/>
    <w:rsid w:val="005001DE"/>
    <w:rsid w:val="00501FF1"/>
    <w:rsid w:val="005022F8"/>
    <w:rsid w:val="00502661"/>
    <w:rsid w:val="00502884"/>
    <w:rsid w:val="00502F28"/>
    <w:rsid w:val="00503107"/>
    <w:rsid w:val="0050367E"/>
    <w:rsid w:val="00503EB2"/>
    <w:rsid w:val="00504819"/>
    <w:rsid w:val="005049EF"/>
    <w:rsid w:val="00506A1C"/>
    <w:rsid w:val="0050706F"/>
    <w:rsid w:val="00507C79"/>
    <w:rsid w:val="00510251"/>
    <w:rsid w:val="00510592"/>
    <w:rsid w:val="00511A1D"/>
    <w:rsid w:val="00511D8D"/>
    <w:rsid w:val="00512869"/>
    <w:rsid w:val="00512BB8"/>
    <w:rsid w:val="00512C11"/>
    <w:rsid w:val="00512E57"/>
    <w:rsid w:val="00512E7F"/>
    <w:rsid w:val="00513995"/>
    <w:rsid w:val="0051415F"/>
    <w:rsid w:val="005149D3"/>
    <w:rsid w:val="00514AE8"/>
    <w:rsid w:val="00516015"/>
    <w:rsid w:val="0051646F"/>
    <w:rsid w:val="0051733F"/>
    <w:rsid w:val="0052007C"/>
    <w:rsid w:val="005202CC"/>
    <w:rsid w:val="005206DF"/>
    <w:rsid w:val="005220C0"/>
    <w:rsid w:val="0052239D"/>
    <w:rsid w:val="00522534"/>
    <w:rsid w:val="0052278D"/>
    <w:rsid w:val="005237D3"/>
    <w:rsid w:val="005256C1"/>
    <w:rsid w:val="005266A6"/>
    <w:rsid w:val="00526803"/>
    <w:rsid w:val="00527A1F"/>
    <w:rsid w:val="005306E9"/>
    <w:rsid w:val="005308AC"/>
    <w:rsid w:val="00530AEF"/>
    <w:rsid w:val="005313D2"/>
    <w:rsid w:val="00531429"/>
    <w:rsid w:val="00531B0F"/>
    <w:rsid w:val="00531F6B"/>
    <w:rsid w:val="0053200E"/>
    <w:rsid w:val="00532346"/>
    <w:rsid w:val="005328DE"/>
    <w:rsid w:val="00532912"/>
    <w:rsid w:val="0053294A"/>
    <w:rsid w:val="00532DDC"/>
    <w:rsid w:val="00533160"/>
    <w:rsid w:val="00533DD5"/>
    <w:rsid w:val="00533E12"/>
    <w:rsid w:val="00534492"/>
    <w:rsid w:val="005344BD"/>
    <w:rsid w:val="00534A42"/>
    <w:rsid w:val="005351B8"/>
    <w:rsid w:val="005363C0"/>
    <w:rsid w:val="0053684D"/>
    <w:rsid w:val="00537300"/>
    <w:rsid w:val="0053783C"/>
    <w:rsid w:val="00537C22"/>
    <w:rsid w:val="00541046"/>
    <w:rsid w:val="00541642"/>
    <w:rsid w:val="005418FB"/>
    <w:rsid w:val="00542919"/>
    <w:rsid w:val="00542B25"/>
    <w:rsid w:val="00542B3B"/>
    <w:rsid w:val="00542F2A"/>
    <w:rsid w:val="005448BC"/>
    <w:rsid w:val="00544E7E"/>
    <w:rsid w:val="00545393"/>
    <w:rsid w:val="00545C60"/>
    <w:rsid w:val="0054775C"/>
    <w:rsid w:val="00547E26"/>
    <w:rsid w:val="005504B1"/>
    <w:rsid w:val="005506F2"/>
    <w:rsid w:val="00552379"/>
    <w:rsid w:val="005524E2"/>
    <w:rsid w:val="005526E9"/>
    <w:rsid w:val="00553244"/>
    <w:rsid w:val="005536C5"/>
    <w:rsid w:val="005550BF"/>
    <w:rsid w:val="00555528"/>
    <w:rsid w:val="00555849"/>
    <w:rsid w:val="00555FF9"/>
    <w:rsid w:val="005564CF"/>
    <w:rsid w:val="005569C9"/>
    <w:rsid w:val="00557454"/>
    <w:rsid w:val="00557843"/>
    <w:rsid w:val="00557883"/>
    <w:rsid w:val="00557A7A"/>
    <w:rsid w:val="005609A7"/>
    <w:rsid w:val="00560AA3"/>
    <w:rsid w:val="00562D98"/>
    <w:rsid w:val="00563109"/>
    <w:rsid w:val="00563453"/>
    <w:rsid w:val="00564639"/>
    <w:rsid w:val="00564AF6"/>
    <w:rsid w:val="00564E55"/>
    <w:rsid w:val="0056531F"/>
    <w:rsid w:val="00565B7F"/>
    <w:rsid w:val="005672AA"/>
    <w:rsid w:val="00570848"/>
    <w:rsid w:val="00570A4F"/>
    <w:rsid w:val="0057134B"/>
    <w:rsid w:val="00572A79"/>
    <w:rsid w:val="005742F1"/>
    <w:rsid w:val="00574708"/>
    <w:rsid w:val="00574F40"/>
    <w:rsid w:val="00575C58"/>
    <w:rsid w:val="00575ECA"/>
    <w:rsid w:val="00577147"/>
    <w:rsid w:val="00577751"/>
    <w:rsid w:val="00580DF3"/>
    <w:rsid w:val="0058100C"/>
    <w:rsid w:val="0058129B"/>
    <w:rsid w:val="005823CE"/>
    <w:rsid w:val="00582A29"/>
    <w:rsid w:val="0058311F"/>
    <w:rsid w:val="00583E9C"/>
    <w:rsid w:val="00585B68"/>
    <w:rsid w:val="00585BB8"/>
    <w:rsid w:val="00585FF7"/>
    <w:rsid w:val="0058607F"/>
    <w:rsid w:val="005864DD"/>
    <w:rsid w:val="00587DB5"/>
    <w:rsid w:val="0059137D"/>
    <w:rsid w:val="00591738"/>
    <w:rsid w:val="00591851"/>
    <w:rsid w:val="00592131"/>
    <w:rsid w:val="00592230"/>
    <w:rsid w:val="005928B0"/>
    <w:rsid w:val="00592E1B"/>
    <w:rsid w:val="005932A1"/>
    <w:rsid w:val="005933C1"/>
    <w:rsid w:val="00593AFC"/>
    <w:rsid w:val="00593C62"/>
    <w:rsid w:val="005941D3"/>
    <w:rsid w:val="005941F9"/>
    <w:rsid w:val="00594328"/>
    <w:rsid w:val="005952CD"/>
    <w:rsid w:val="005955C2"/>
    <w:rsid w:val="00595BBB"/>
    <w:rsid w:val="00595C2B"/>
    <w:rsid w:val="005962AC"/>
    <w:rsid w:val="005979D8"/>
    <w:rsid w:val="00597B9A"/>
    <w:rsid w:val="005A01E0"/>
    <w:rsid w:val="005A0456"/>
    <w:rsid w:val="005A11B6"/>
    <w:rsid w:val="005A15C4"/>
    <w:rsid w:val="005A15CE"/>
    <w:rsid w:val="005A1910"/>
    <w:rsid w:val="005A1BF7"/>
    <w:rsid w:val="005A209E"/>
    <w:rsid w:val="005A4263"/>
    <w:rsid w:val="005A42BB"/>
    <w:rsid w:val="005A4699"/>
    <w:rsid w:val="005A4E4D"/>
    <w:rsid w:val="005A4FFC"/>
    <w:rsid w:val="005A5126"/>
    <w:rsid w:val="005A5E84"/>
    <w:rsid w:val="005A64BC"/>
    <w:rsid w:val="005A7710"/>
    <w:rsid w:val="005A7B6D"/>
    <w:rsid w:val="005B0111"/>
    <w:rsid w:val="005B021F"/>
    <w:rsid w:val="005B06D2"/>
    <w:rsid w:val="005B0D58"/>
    <w:rsid w:val="005B0E16"/>
    <w:rsid w:val="005B0E23"/>
    <w:rsid w:val="005B1517"/>
    <w:rsid w:val="005B19C0"/>
    <w:rsid w:val="005B29CC"/>
    <w:rsid w:val="005B2B6D"/>
    <w:rsid w:val="005B2DB2"/>
    <w:rsid w:val="005B339F"/>
    <w:rsid w:val="005B3B45"/>
    <w:rsid w:val="005B4064"/>
    <w:rsid w:val="005B42BF"/>
    <w:rsid w:val="005B5514"/>
    <w:rsid w:val="005B5B65"/>
    <w:rsid w:val="005B64AD"/>
    <w:rsid w:val="005B677D"/>
    <w:rsid w:val="005B794C"/>
    <w:rsid w:val="005C069E"/>
    <w:rsid w:val="005C0D51"/>
    <w:rsid w:val="005C1006"/>
    <w:rsid w:val="005C10C8"/>
    <w:rsid w:val="005C137B"/>
    <w:rsid w:val="005C1646"/>
    <w:rsid w:val="005C2065"/>
    <w:rsid w:val="005C27AD"/>
    <w:rsid w:val="005C2834"/>
    <w:rsid w:val="005C2E2A"/>
    <w:rsid w:val="005C3609"/>
    <w:rsid w:val="005C3738"/>
    <w:rsid w:val="005C3F0E"/>
    <w:rsid w:val="005C4120"/>
    <w:rsid w:val="005C468C"/>
    <w:rsid w:val="005C57CC"/>
    <w:rsid w:val="005C6329"/>
    <w:rsid w:val="005C6C7C"/>
    <w:rsid w:val="005D01A0"/>
    <w:rsid w:val="005D0D2B"/>
    <w:rsid w:val="005D11AD"/>
    <w:rsid w:val="005D1D0D"/>
    <w:rsid w:val="005D22D7"/>
    <w:rsid w:val="005D2648"/>
    <w:rsid w:val="005D3414"/>
    <w:rsid w:val="005D3628"/>
    <w:rsid w:val="005D4607"/>
    <w:rsid w:val="005D462F"/>
    <w:rsid w:val="005D53B5"/>
    <w:rsid w:val="005D621D"/>
    <w:rsid w:val="005E0A7C"/>
    <w:rsid w:val="005E2324"/>
    <w:rsid w:val="005E2480"/>
    <w:rsid w:val="005E2557"/>
    <w:rsid w:val="005E2759"/>
    <w:rsid w:val="005E3F78"/>
    <w:rsid w:val="005E40CD"/>
    <w:rsid w:val="005E53E2"/>
    <w:rsid w:val="005E574C"/>
    <w:rsid w:val="005E6B00"/>
    <w:rsid w:val="005E6CDE"/>
    <w:rsid w:val="005E78AF"/>
    <w:rsid w:val="005F102E"/>
    <w:rsid w:val="005F24EC"/>
    <w:rsid w:val="005F256A"/>
    <w:rsid w:val="005F2665"/>
    <w:rsid w:val="005F333E"/>
    <w:rsid w:val="005F3968"/>
    <w:rsid w:val="005F3CBA"/>
    <w:rsid w:val="005F4858"/>
    <w:rsid w:val="005F4ADE"/>
    <w:rsid w:val="005F517D"/>
    <w:rsid w:val="005F525E"/>
    <w:rsid w:val="005F6071"/>
    <w:rsid w:val="005F6745"/>
    <w:rsid w:val="005F7A84"/>
    <w:rsid w:val="005F7AA1"/>
    <w:rsid w:val="005F7B52"/>
    <w:rsid w:val="006001BD"/>
    <w:rsid w:val="00600434"/>
    <w:rsid w:val="00600A34"/>
    <w:rsid w:val="00600D0F"/>
    <w:rsid w:val="006018E1"/>
    <w:rsid w:val="0060207D"/>
    <w:rsid w:val="00602339"/>
    <w:rsid w:val="006029D6"/>
    <w:rsid w:val="00602BF3"/>
    <w:rsid w:val="00604072"/>
    <w:rsid w:val="00604594"/>
    <w:rsid w:val="00604BC9"/>
    <w:rsid w:val="00605A81"/>
    <w:rsid w:val="00605C6F"/>
    <w:rsid w:val="00605EC8"/>
    <w:rsid w:val="006060E8"/>
    <w:rsid w:val="0060697C"/>
    <w:rsid w:val="00607924"/>
    <w:rsid w:val="00607BB5"/>
    <w:rsid w:val="006109D8"/>
    <w:rsid w:val="00610D7F"/>
    <w:rsid w:val="00611EEC"/>
    <w:rsid w:val="00612158"/>
    <w:rsid w:val="006135AE"/>
    <w:rsid w:val="00614A2D"/>
    <w:rsid w:val="00614C2D"/>
    <w:rsid w:val="00615B07"/>
    <w:rsid w:val="00615B7D"/>
    <w:rsid w:val="006161E0"/>
    <w:rsid w:val="0061620C"/>
    <w:rsid w:val="00616A41"/>
    <w:rsid w:val="00616AC2"/>
    <w:rsid w:val="00617787"/>
    <w:rsid w:val="00617D41"/>
    <w:rsid w:val="00617FCE"/>
    <w:rsid w:val="00620102"/>
    <w:rsid w:val="0062120F"/>
    <w:rsid w:val="00621F13"/>
    <w:rsid w:val="00622026"/>
    <w:rsid w:val="00622CCA"/>
    <w:rsid w:val="00622ED3"/>
    <w:rsid w:val="00622F7B"/>
    <w:rsid w:val="0062365E"/>
    <w:rsid w:val="00623E5D"/>
    <w:rsid w:val="00624757"/>
    <w:rsid w:val="0062523A"/>
    <w:rsid w:val="0062569A"/>
    <w:rsid w:val="00625BF1"/>
    <w:rsid w:val="0062606D"/>
    <w:rsid w:val="00626B2F"/>
    <w:rsid w:val="0062743D"/>
    <w:rsid w:val="006276C9"/>
    <w:rsid w:val="00627F28"/>
    <w:rsid w:val="00630953"/>
    <w:rsid w:val="00631179"/>
    <w:rsid w:val="00631E8C"/>
    <w:rsid w:val="00632184"/>
    <w:rsid w:val="00632788"/>
    <w:rsid w:val="00633CB6"/>
    <w:rsid w:val="0063428E"/>
    <w:rsid w:val="006347C4"/>
    <w:rsid w:val="00634D2C"/>
    <w:rsid w:val="00634E31"/>
    <w:rsid w:val="00635527"/>
    <w:rsid w:val="00635632"/>
    <w:rsid w:val="00636E1A"/>
    <w:rsid w:val="00637664"/>
    <w:rsid w:val="0064127A"/>
    <w:rsid w:val="00641DB8"/>
    <w:rsid w:val="00642B0D"/>
    <w:rsid w:val="00643D10"/>
    <w:rsid w:val="00643F0C"/>
    <w:rsid w:val="00643F42"/>
    <w:rsid w:val="00643F72"/>
    <w:rsid w:val="00644315"/>
    <w:rsid w:val="00644432"/>
    <w:rsid w:val="00644816"/>
    <w:rsid w:val="00644C3E"/>
    <w:rsid w:val="00645082"/>
    <w:rsid w:val="00646930"/>
    <w:rsid w:val="00646B9F"/>
    <w:rsid w:val="00646D7A"/>
    <w:rsid w:val="00647370"/>
    <w:rsid w:val="0064761B"/>
    <w:rsid w:val="006500D8"/>
    <w:rsid w:val="006507A5"/>
    <w:rsid w:val="00650B2B"/>
    <w:rsid w:val="00651131"/>
    <w:rsid w:val="006514E6"/>
    <w:rsid w:val="006524E9"/>
    <w:rsid w:val="006529D3"/>
    <w:rsid w:val="00652C27"/>
    <w:rsid w:val="00652CD4"/>
    <w:rsid w:val="00654B5A"/>
    <w:rsid w:val="00654BD7"/>
    <w:rsid w:val="00655309"/>
    <w:rsid w:val="006556E3"/>
    <w:rsid w:val="0065655F"/>
    <w:rsid w:val="006568E6"/>
    <w:rsid w:val="006570E0"/>
    <w:rsid w:val="00657EB6"/>
    <w:rsid w:val="00661C8C"/>
    <w:rsid w:val="00661DE9"/>
    <w:rsid w:val="00661F80"/>
    <w:rsid w:val="0066585A"/>
    <w:rsid w:val="00665906"/>
    <w:rsid w:val="0066611F"/>
    <w:rsid w:val="006673D9"/>
    <w:rsid w:val="006679BF"/>
    <w:rsid w:val="00667DCE"/>
    <w:rsid w:val="00671719"/>
    <w:rsid w:val="00671FC3"/>
    <w:rsid w:val="0067222E"/>
    <w:rsid w:val="006722BD"/>
    <w:rsid w:val="0067248E"/>
    <w:rsid w:val="00672ED3"/>
    <w:rsid w:val="006739D0"/>
    <w:rsid w:val="00673C1A"/>
    <w:rsid w:val="006740B1"/>
    <w:rsid w:val="0067414D"/>
    <w:rsid w:val="00674616"/>
    <w:rsid w:val="00675113"/>
    <w:rsid w:val="0067512E"/>
    <w:rsid w:val="00675D81"/>
    <w:rsid w:val="00676104"/>
    <w:rsid w:val="00676828"/>
    <w:rsid w:val="00676B0B"/>
    <w:rsid w:val="0067700A"/>
    <w:rsid w:val="00677A88"/>
    <w:rsid w:val="00677D3A"/>
    <w:rsid w:val="0068005B"/>
    <w:rsid w:val="006810C9"/>
    <w:rsid w:val="006810F3"/>
    <w:rsid w:val="0068120C"/>
    <w:rsid w:val="00683E11"/>
    <w:rsid w:val="0068486D"/>
    <w:rsid w:val="00684F48"/>
    <w:rsid w:val="0068516B"/>
    <w:rsid w:val="006851C9"/>
    <w:rsid w:val="00685381"/>
    <w:rsid w:val="006855AF"/>
    <w:rsid w:val="00685C70"/>
    <w:rsid w:val="00686347"/>
    <w:rsid w:val="00687DB8"/>
    <w:rsid w:val="00690194"/>
    <w:rsid w:val="00691526"/>
    <w:rsid w:val="00691738"/>
    <w:rsid w:val="00692BA2"/>
    <w:rsid w:val="00693D21"/>
    <w:rsid w:val="00693E82"/>
    <w:rsid w:val="006942A1"/>
    <w:rsid w:val="00694588"/>
    <w:rsid w:val="00694608"/>
    <w:rsid w:val="00694B0E"/>
    <w:rsid w:val="00694C2A"/>
    <w:rsid w:val="00695C45"/>
    <w:rsid w:val="006979FA"/>
    <w:rsid w:val="00697A71"/>
    <w:rsid w:val="00697FD6"/>
    <w:rsid w:val="006A0112"/>
    <w:rsid w:val="006A0C1B"/>
    <w:rsid w:val="006A0C63"/>
    <w:rsid w:val="006A0F15"/>
    <w:rsid w:val="006A169F"/>
    <w:rsid w:val="006A2554"/>
    <w:rsid w:val="006A2920"/>
    <w:rsid w:val="006A2C34"/>
    <w:rsid w:val="006A321B"/>
    <w:rsid w:val="006A339C"/>
    <w:rsid w:val="006A34DA"/>
    <w:rsid w:val="006A3B21"/>
    <w:rsid w:val="006A41C9"/>
    <w:rsid w:val="006A46D3"/>
    <w:rsid w:val="006A6987"/>
    <w:rsid w:val="006A75BC"/>
    <w:rsid w:val="006A78FF"/>
    <w:rsid w:val="006B0889"/>
    <w:rsid w:val="006B11C5"/>
    <w:rsid w:val="006B1458"/>
    <w:rsid w:val="006B1741"/>
    <w:rsid w:val="006B18B3"/>
    <w:rsid w:val="006B2297"/>
    <w:rsid w:val="006B22F3"/>
    <w:rsid w:val="006B2B7F"/>
    <w:rsid w:val="006B430C"/>
    <w:rsid w:val="006B452B"/>
    <w:rsid w:val="006B459C"/>
    <w:rsid w:val="006B5B3A"/>
    <w:rsid w:val="006B5B58"/>
    <w:rsid w:val="006B6D58"/>
    <w:rsid w:val="006B7516"/>
    <w:rsid w:val="006B77FE"/>
    <w:rsid w:val="006B796F"/>
    <w:rsid w:val="006C0093"/>
    <w:rsid w:val="006C016D"/>
    <w:rsid w:val="006C10D6"/>
    <w:rsid w:val="006C1DFF"/>
    <w:rsid w:val="006C21AD"/>
    <w:rsid w:val="006C2FD9"/>
    <w:rsid w:val="006C3CF6"/>
    <w:rsid w:val="006C3D7E"/>
    <w:rsid w:val="006C4D87"/>
    <w:rsid w:val="006C5756"/>
    <w:rsid w:val="006C5760"/>
    <w:rsid w:val="006C5855"/>
    <w:rsid w:val="006C5A0B"/>
    <w:rsid w:val="006C60F4"/>
    <w:rsid w:val="006C6449"/>
    <w:rsid w:val="006C6F62"/>
    <w:rsid w:val="006C7EF2"/>
    <w:rsid w:val="006D0670"/>
    <w:rsid w:val="006D0E66"/>
    <w:rsid w:val="006D1E2E"/>
    <w:rsid w:val="006D1F9E"/>
    <w:rsid w:val="006D2025"/>
    <w:rsid w:val="006D2C03"/>
    <w:rsid w:val="006D2F14"/>
    <w:rsid w:val="006D3040"/>
    <w:rsid w:val="006D3314"/>
    <w:rsid w:val="006D35D6"/>
    <w:rsid w:val="006D3688"/>
    <w:rsid w:val="006D4A23"/>
    <w:rsid w:val="006D4F77"/>
    <w:rsid w:val="006D51F4"/>
    <w:rsid w:val="006D634C"/>
    <w:rsid w:val="006D7A36"/>
    <w:rsid w:val="006D7B98"/>
    <w:rsid w:val="006D7F98"/>
    <w:rsid w:val="006E0033"/>
    <w:rsid w:val="006E044F"/>
    <w:rsid w:val="006E04E2"/>
    <w:rsid w:val="006E07E6"/>
    <w:rsid w:val="006E0C2E"/>
    <w:rsid w:val="006E0D79"/>
    <w:rsid w:val="006E1787"/>
    <w:rsid w:val="006E1A06"/>
    <w:rsid w:val="006E1A22"/>
    <w:rsid w:val="006E1CDA"/>
    <w:rsid w:val="006E36A2"/>
    <w:rsid w:val="006E3C87"/>
    <w:rsid w:val="006E3FE3"/>
    <w:rsid w:val="006E603C"/>
    <w:rsid w:val="006E62DF"/>
    <w:rsid w:val="006E6780"/>
    <w:rsid w:val="006E6870"/>
    <w:rsid w:val="006E6A77"/>
    <w:rsid w:val="006E7351"/>
    <w:rsid w:val="006F0DDE"/>
    <w:rsid w:val="006F0F80"/>
    <w:rsid w:val="006F109D"/>
    <w:rsid w:val="006F17C9"/>
    <w:rsid w:val="006F1818"/>
    <w:rsid w:val="006F1DC5"/>
    <w:rsid w:val="006F26AF"/>
    <w:rsid w:val="006F38BC"/>
    <w:rsid w:val="006F4B04"/>
    <w:rsid w:val="006F4BE7"/>
    <w:rsid w:val="006F5221"/>
    <w:rsid w:val="006F5F8F"/>
    <w:rsid w:val="006F6E86"/>
    <w:rsid w:val="006F7C52"/>
    <w:rsid w:val="00700242"/>
    <w:rsid w:val="00701735"/>
    <w:rsid w:val="00702294"/>
    <w:rsid w:val="00703D72"/>
    <w:rsid w:val="00703E79"/>
    <w:rsid w:val="00703FF2"/>
    <w:rsid w:val="0070419C"/>
    <w:rsid w:val="00705846"/>
    <w:rsid w:val="00706386"/>
    <w:rsid w:val="007065EE"/>
    <w:rsid w:val="00706B59"/>
    <w:rsid w:val="00706F04"/>
    <w:rsid w:val="00707767"/>
    <w:rsid w:val="00710545"/>
    <w:rsid w:val="00710625"/>
    <w:rsid w:val="00710F24"/>
    <w:rsid w:val="0071109D"/>
    <w:rsid w:val="007113F4"/>
    <w:rsid w:val="00711757"/>
    <w:rsid w:val="00711CF7"/>
    <w:rsid w:val="0071299B"/>
    <w:rsid w:val="007133B1"/>
    <w:rsid w:val="00713E91"/>
    <w:rsid w:val="0071427A"/>
    <w:rsid w:val="00715C94"/>
    <w:rsid w:val="00716447"/>
    <w:rsid w:val="00717692"/>
    <w:rsid w:val="00720135"/>
    <w:rsid w:val="00720CDF"/>
    <w:rsid w:val="00720DCD"/>
    <w:rsid w:val="00720F52"/>
    <w:rsid w:val="0072115D"/>
    <w:rsid w:val="00721A07"/>
    <w:rsid w:val="0072223E"/>
    <w:rsid w:val="00722352"/>
    <w:rsid w:val="00722B62"/>
    <w:rsid w:val="0072366B"/>
    <w:rsid w:val="00724467"/>
    <w:rsid w:val="00725410"/>
    <w:rsid w:val="00725CF3"/>
    <w:rsid w:val="007263E8"/>
    <w:rsid w:val="00726B3F"/>
    <w:rsid w:val="00731273"/>
    <w:rsid w:val="00731280"/>
    <w:rsid w:val="007314B5"/>
    <w:rsid w:val="00731772"/>
    <w:rsid w:val="007319C5"/>
    <w:rsid w:val="00732808"/>
    <w:rsid w:val="00732AFB"/>
    <w:rsid w:val="007332EA"/>
    <w:rsid w:val="00734B88"/>
    <w:rsid w:val="007373FE"/>
    <w:rsid w:val="007377D9"/>
    <w:rsid w:val="00737A58"/>
    <w:rsid w:val="00737B26"/>
    <w:rsid w:val="00737F6F"/>
    <w:rsid w:val="00740948"/>
    <w:rsid w:val="00740B5F"/>
    <w:rsid w:val="00740BB3"/>
    <w:rsid w:val="00740FAC"/>
    <w:rsid w:val="007411B1"/>
    <w:rsid w:val="00742E46"/>
    <w:rsid w:val="007430D5"/>
    <w:rsid w:val="0074311B"/>
    <w:rsid w:val="0074356C"/>
    <w:rsid w:val="00743ADA"/>
    <w:rsid w:val="00745022"/>
    <w:rsid w:val="00746881"/>
    <w:rsid w:val="007469B8"/>
    <w:rsid w:val="00746D47"/>
    <w:rsid w:val="00746E6A"/>
    <w:rsid w:val="00747D18"/>
    <w:rsid w:val="00747E1E"/>
    <w:rsid w:val="00747FE5"/>
    <w:rsid w:val="00751DED"/>
    <w:rsid w:val="00751E6E"/>
    <w:rsid w:val="00751FFE"/>
    <w:rsid w:val="0075234D"/>
    <w:rsid w:val="00752873"/>
    <w:rsid w:val="00752A0F"/>
    <w:rsid w:val="00752ED3"/>
    <w:rsid w:val="00753099"/>
    <w:rsid w:val="007535A6"/>
    <w:rsid w:val="007539C3"/>
    <w:rsid w:val="00753CA0"/>
    <w:rsid w:val="007541E7"/>
    <w:rsid w:val="00754217"/>
    <w:rsid w:val="0075623B"/>
    <w:rsid w:val="00756F66"/>
    <w:rsid w:val="007574E5"/>
    <w:rsid w:val="00757D78"/>
    <w:rsid w:val="00760207"/>
    <w:rsid w:val="007612B0"/>
    <w:rsid w:val="007614A7"/>
    <w:rsid w:val="00762108"/>
    <w:rsid w:val="00762278"/>
    <w:rsid w:val="00762323"/>
    <w:rsid w:val="007625FB"/>
    <w:rsid w:val="0076381C"/>
    <w:rsid w:val="00763997"/>
    <w:rsid w:val="00764210"/>
    <w:rsid w:val="00764940"/>
    <w:rsid w:val="00764D89"/>
    <w:rsid w:val="00764EB9"/>
    <w:rsid w:val="007658E4"/>
    <w:rsid w:val="007659A2"/>
    <w:rsid w:val="00765E9D"/>
    <w:rsid w:val="0076629A"/>
    <w:rsid w:val="00766338"/>
    <w:rsid w:val="007668AB"/>
    <w:rsid w:val="00766EFC"/>
    <w:rsid w:val="007670F6"/>
    <w:rsid w:val="007677F2"/>
    <w:rsid w:val="0077030C"/>
    <w:rsid w:val="00770AC4"/>
    <w:rsid w:val="007724EE"/>
    <w:rsid w:val="007724F0"/>
    <w:rsid w:val="0077257D"/>
    <w:rsid w:val="00772933"/>
    <w:rsid w:val="00772D25"/>
    <w:rsid w:val="0077454D"/>
    <w:rsid w:val="00774828"/>
    <w:rsid w:val="0077552F"/>
    <w:rsid w:val="0077709A"/>
    <w:rsid w:val="007770D9"/>
    <w:rsid w:val="00777275"/>
    <w:rsid w:val="00781442"/>
    <w:rsid w:val="00781D1E"/>
    <w:rsid w:val="00782926"/>
    <w:rsid w:val="00783456"/>
    <w:rsid w:val="007849AF"/>
    <w:rsid w:val="007849DE"/>
    <w:rsid w:val="00784B94"/>
    <w:rsid w:val="007852E0"/>
    <w:rsid w:val="0078681C"/>
    <w:rsid w:val="0078787D"/>
    <w:rsid w:val="00787979"/>
    <w:rsid w:val="00791DA8"/>
    <w:rsid w:val="007923F9"/>
    <w:rsid w:val="00792A2D"/>
    <w:rsid w:val="00792D42"/>
    <w:rsid w:val="0079344E"/>
    <w:rsid w:val="0079389A"/>
    <w:rsid w:val="007942CF"/>
    <w:rsid w:val="00795774"/>
    <w:rsid w:val="00795907"/>
    <w:rsid w:val="00796437"/>
    <w:rsid w:val="007965AE"/>
    <w:rsid w:val="00796728"/>
    <w:rsid w:val="00796AD3"/>
    <w:rsid w:val="007970E0"/>
    <w:rsid w:val="007A150D"/>
    <w:rsid w:val="007A1C9F"/>
    <w:rsid w:val="007A2184"/>
    <w:rsid w:val="007A2207"/>
    <w:rsid w:val="007A3301"/>
    <w:rsid w:val="007A3814"/>
    <w:rsid w:val="007A41F6"/>
    <w:rsid w:val="007A4BE9"/>
    <w:rsid w:val="007A4C99"/>
    <w:rsid w:val="007A4E64"/>
    <w:rsid w:val="007A51B6"/>
    <w:rsid w:val="007A5F44"/>
    <w:rsid w:val="007A6777"/>
    <w:rsid w:val="007A6CAE"/>
    <w:rsid w:val="007A724E"/>
    <w:rsid w:val="007A7A73"/>
    <w:rsid w:val="007A7AA9"/>
    <w:rsid w:val="007A7FE8"/>
    <w:rsid w:val="007B09B7"/>
    <w:rsid w:val="007B1421"/>
    <w:rsid w:val="007B3A24"/>
    <w:rsid w:val="007B3F6A"/>
    <w:rsid w:val="007B43F5"/>
    <w:rsid w:val="007B5961"/>
    <w:rsid w:val="007B5BCF"/>
    <w:rsid w:val="007B78A2"/>
    <w:rsid w:val="007C1AF7"/>
    <w:rsid w:val="007C231B"/>
    <w:rsid w:val="007C2A2D"/>
    <w:rsid w:val="007C304C"/>
    <w:rsid w:val="007C408A"/>
    <w:rsid w:val="007C4102"/>
    <w:rsid w:val="007C41D6"/>
    <w:rsid w:val="007C458C"/>
    <w:rsid w:val="007C642E"/>
    <w:rsid w:val="007C6D51"/>
    <w:rsid w:val="007C6F8B"/>
    <w:rsid w:val="007C73CF"/>
    <w:rsid w:val="007C7510"/>
    <w:rsid w:val="007C778D"/>
    <w:rsid w:val="007C7F7B"/>
    <w:rsid w:val="007D1A89"/>
    <w:rsid w:val="007D1B6D"/>
    <w:rsid w:val="007D1E90"/>
    <w:rsid w:val="007D2444"/>
    <w:rsid w:val="007D32A1"/>
    <w:rsid w:val="007D3B39"/>
    <w:rsid w:val="007D550F"/>
    <w:rsid w:val="007D5AF6"/>
    <w:rsid w:val="007D677A"/>
    <w:rsid w:val="007D7045"/>
    <w:rsid w:val="007D736B"/>
    <w:rsid w:val="007D7C2D"/>
    <w:rsid w:val="007E25FB"/>
    <w:rsid w:val="007E2CCF"/>
    <w:rsid w:val="007E2F56"/>
    <w:rsid w:val="007E3AD1"/>
    <w:rsid w:val="007E3E83"/>
    <w:rsid w:val="007E4F6A"/>
    <w:rsid w:val="007E4FCB"/>
    <w:rsid w:val="007E500F"/>
    <w:rsid w:val="007E5408"/>
    <w:rsid w:val="007E5626"/>
    <w:rsid w:val="007E6500"/>
    <w:rsid w:val="007E66EC"/>
    <w:rsid w:val="007E6A00"/>
    <w:rsid w:val="007E72EB"/>
    <w:rsid w:val="007E7808"/>
    <w:rsid w:val="007F025F"/>
    <w:rsid w:val="007F06DF"/>
    <w:rsid w:val="007F0A49"/>
    <w:rsid w:val="007F0C4D"/>
    <w:rsid w:val="007F0C7A"/>
    <w:rsid w:val="007F15A0"/>
    <w:rsid w:val="007F24C8"/>
    <w:rsid w:val="007F4B3E"/>
    <w:rsid w:val="007F4CC4"/>
    <w:rsid w:val="007F50E2"/>
    <w:rsid w:val="007F511D"/>
    <w:rsid w:val="007F5206"/>
    <w:rsid w:val="007F5724"/>
    <w:rsid w:val="007F5CC7"/>
    <w:rsid w:val="007F5D56"/>
    <w:rsid w:val="007F5F05"/>
    <w:rsid w:val="007F6E3C"/>
    <w:rsid w:val="007F765F"/>
    <w:rsid w:val="007F7AA0"/>
    <w:rsid w:val="007F7D09"/>
    <w:rsid w:val="00801930"/>
    <w:rsid w:val="00801F24"/>
    <w:rsid w:val="00801F2C"/>
    <w:rsid w:val="008036A5"/>
    <w:rsid w:val="00803785"/>
    <w:rsid w:val="008037B4"/>
    <w:rsid w:val="00803B21"/>
    <w:rsid w:val="00803D66"/>
    <w:rsid w:val="0080402A"/>
    <w:rsid w:val="00804152"/>
    <w:rsid w:val="00804522"/>
    <w:rsid w:val="00804688"/>
    <w:rsid w:val="00805C37"/>
    <w:rsid w:val="00805C93"/>
    <w:rsid w:val="00805DFB"/>
    <w:rsid w:val="00807287"/>
    <w:rsid w:val="00807310"/>
    <w:rsid w:val="00807498"/>
    <w:rsid w:val="0080760B"/>
    <w:rsid w:val="00807697"/>
    <w:rsid w:val="00807803"/>
    <w:rsid w:val="00807AF5"/>
    <w:rsid w:val="00810819"/>
    <w:rsid w:val="00811B95"/>
    <w:rsid w:val="00813B0A"/>
    <w:rsid w:val="008146D0"/>
    <w:rsid w:val="00815483"/>
    <w:rsid w:val="00815501"/>
    <w:rsid w:val="00815C0A"/>
    <w:rsid w:val="00816D48"/>
    <w:rsid w:val="00817068"/>
    <w:rsid w:val="00820967"/>
    <w:rsid w:val="00820D3A"/>
    <w:rsid w:val="008214E3"/>
    <w:rsid w:val="00821BC1"/>
    <w:rsid w:val="00823484"/>
    <w:rsid w:val="008238A0"/>
    <w:rsid w:val="00823A8A"/>
    <w:rsid w:val="00823BDE"/>
    <w:rsid w:val="00823C0D"/>
    <w:rsid w:val="00824D00"/>
    <w:rsid w:val="00825B7B"/>
    <w:rsid w:val="00825F5B"/>
    <w:rsid w:val="00825F67"/>
    <w:rsid w:val="00826238"/>
    <w:rsid w:val="00826309"/>
    <w:rsid w:val="008264BE"/>
    <w:rsid w:val="008267C7"/>
    <w:rsid w:val="0082687C"/>
    <w:rsid w:val="008304B3"/>
    <w:rsid w:val="008306A1"/>
    <w:rsid w:val="0083071A"/>
    <w:rsid w:val="00830A30"/>
    <w:rsid w:val="00830EC0"/>
    <w:rsid w:val="008313A2"/>
    <w:rsid w:val="00832166"/>
    <w:rsid w:val="008328D0"/>
    <w:rsid w:val="0083296B"/>
    <w:rsid w:val="00832A25"/>
    <w:rsid w:val="008333DD"/>
    <w:rsid w:val="00833624"/>
    <w:rsid w:val="0083403D"/>
    <w:rsid w:val="008353B4"/>
    <w:rsid w:val="008354D6"/>
    <w:rsid w:val="00835A88"/>
    <w:rsid w:val="00836683"/>
    <w:rsid w:val="00836AAD"/>
    <w:rsid w:val="00837305"/>
    <w:rsid w:val="0083797D"/>
    <w:rsid w:val="008379DA"/>
    <w:rsid w:val="00840E7D"/>
    <w:rsid w:val="00840F40"/>
    <w:rsid w:val="00841669"/>
    <w:rsid w:val="008420B9"/>
    <w:rsid w:val="00842430"/>
    <w:rsid w:val="00842902"/>
    <w:rsid w:val="0084294A"/>
    <w:rsid w:val="00842CB6"/>
    <w:rsid w:val="00842DA0"/>
    <w:rsid w:val="00842EF0"/>
    <w:rsid w:val="00843006"/>
    <w:rsid w:val="008437A8"/>
    <w:rsid w:val="008438D2"/>
    <w:rsid w:val="00843F08"/>
    <w:rsid w:val="00844267"/>
    <w:rsid w:val="00844877"/>
    <w:rsid w:val="0084506D"/>
    <w:rsid w:val="0084526A"/>
    <w:rsid w:val="00845FAA"/>
    <w:rsid w:val="0084604E"/>
    <w:rsid w:val="00847ED7"/>
    <w:rsid w:val="008512DA"/>
    <w:rsid w:val="008518C2"/>
    <w:rsid w:val="00851D2C"/>
    <w:rsid w:val="00851F8F"/>
    <w:rsid w:val="008521BD"/>
    <w:rsid w:val="008528AC"/>
    <w:rsid w:val="00852D92"/>
    <w:rsid w:val="00853D40"/>
    <w:rsid w:val="00853EBE"/>
    <w:rsid w:val="00854C70"/>
    <w:rsid w:val="00855AB0"/>
    <w:rsid w:val="0085613C"/>
    <w:rsid w:val="00856A38"/>
    <w:rsid w:val="00856AAE"/>
    <w:rsid w:val="00856B1A"/>
    <w:rsid w:val="008570C2"/>
    <w:rsid w:val="008573E7"/>
    <w:rsid w:val="0085761E"/>
    <w:rsid w:val="008579B2"/>
    <w:rsid w:val="00860B08"/>
    <w:rsid w:val="00861589"/>
    <w:rsid w:val="00861BE6"/>
    <w:rsid w:val="00862500"/>
    <w:rsid w:val="008635B9"/>
    <w:rsid w:val="00865F1A"/>
    <w:rsid w:val="0086694E"/>
    <w:rsid w:val="00867604"/>
    <w:rsid w:val="00870EE0"/>
    <w:rsid w:val="00871030"/>
    <w:rsid w:val="0087120C"/>
    <w:rsid w:val="008719FC"/>
    <w:rsid w:val="0087214B"/>
    <w:rsid w:val="00872BB0"/>
    <w:rsid w:val="00872DDF"/>
    <w:rsid w:val="00873053"/>
    <w:rsid w:val="008744FE"/>
    <w:rsid w:val="00875A19"/>
    <w:rsid w:val="00875E8C"/>
    <w:rsid w:val="00876769"/>
    <w:rsid w:val="008769E6"/>
    <w:rsid w:val="008770EB"/>
    <w:rsid w:val="00880542"/>
    <w:rsid w:val="00881382"/>
    <w:rsid w:val="00882B84"/>
    <w:rsid w:val="00883AFE"/>
    <w:rsid w:val="0088491E"/>
    <w:rsid w:val="00884BC8"/>
    <w:rsid w:val="00885401"/>
    <w:rsid w:val="00885821"/>
    <w:rsid w:val="00885D79"/>
    <w:rsid w:val="00885E13"/>
    <w:rsid w:val="00886E00"/>
    <w:rsid w:val="00887B73"/>
    <w:rsid w:val="00890FE9"/>
    <w:rsid w:val="008914C9"/>
    <w:rsid w:val="00891FB3"/>
    <w:rsid w:val="00892873"/>
    <w:rsid w:val="00893DC8"/>
    <w:rsid w:val="0089430C"/>
    <w:rsid w:val="008944C9"/>
    <w:rsid w:val="00894A3F"/>
    <w:rsid w:val="0089591D"/>
    <w:rsid w:val="00896293"/>
    <w:rsid w:val="00896294"/>
    <w:rsid w:val="00896370"/>
    <w:rsid w:val="00896372"/>
    <w:rsid w:val="00896546"/>
    <w:rsid w:val="00896844"/>
    <w:rsid w:val="00896B79"/>
    <w:rsid w:val="00896EAC"/>
    <w:rsid w:val="00897862"/>
    <w:rsid w:val="0089787C"/>
    <w:rsid w:val="00897FC3"/>
    <w:rsid w:val="008A1580"/>
    <w:rsid w:val="008A1627"/>
    <w:rsid w:val="008A1657"/>
    <w:rsid w:val="008A1F72"/>
    <w:rsid w:val="008A531C"/>
    <w:rsid w:val="008A60A0"/>
    <w:rsid w:val="008A7134"/>
    <w:rsid w:val="008B0343"/>
    <w:rsid w:val="008B0448"/>
    <w:rsid w:val="008B17EE"/>
    <w:rsid w:val="008B1E16"/>
    <w:rsid w:val="008B2E48"/>
    <w:rsid w:val="008B3797"/>
    <w:rsid w:val="008B4819"/>
    <w:rsid w:val="008B49CA"/>
    <w:rsid w:val="008B4D13"/>
    <w:rsid w:val="008B5333"/>
    <w:rsid w:val="008B5673"/>
    <w:rsid w:val="008B57A1"/>
    <w:rsid w:val="008B5995"/>
    <w:rsid w:val="008B7391"/>
    <w:rsid w:val="008B74B7"/>
    <w:rsid w:val="008C0733"/>
    <w:rsid w:val="008C096B"/>
    <w:rsid w:val="008C0D17"/>
    <w:rsid w:val="008C11DD"/>
    <w:rsid w:val="008C1E28"/>
    <w:rsid w:val="008C20F4"/>
    <w:rsid w:val="008C2F6A"/>
    <w:rsid w:val="008C4369"/>
    <w:rsid w:val="008C5049"/>
    <w:rsid w:val="008C5DB9"/>
    <w:rsid w:val="008C6E6A"/>
    <w:rsid w:val="008C75F9"/>
    <w:rsid w:val="008D00FB"/>
    <w:rsid w:val="008D06D5"/>
    <w:rsid w:val="008D07EA"/>
    <w:rsid w:val="008D1F43"/>
    <w:rsid w:val="008D26EC"/>
    <w:rsid w:val="008D333E"/>
    <w:rsid w:val="008D3A69"/>
    <w:rsid w:val="008D4E42"/>
    <w:rsid w:val="008D4EDF"/>
    <w:rsid w:val="008D536E"/>
    <w:rsid w:val="008D58A1"/>
    <w:rsid w:val="008D67A9"/>
    <w:rsid w:val="008D6B55"/>
    <w:rsid w:val="008D6D40"/>
    <w:rsid w:val="008D7553"/>
    <w:rsid w:val="008D7EB0"/>
    <w:rsid w:val="008E014D"/>
    <w:rsid w:val="008E24F3"/>
    <w:rsid w:val="008E2589"/>
    <w:rsid w:val="008E2BAB"/>
    <w:rsid w:val="008E3BBA"/>
    <w:rsid w:val="008E4447"/>
    <w:rsid w:val="008E4F2A"/>
    <w:rsid w:val="008E6109"/>
    <w:rsid w:val="008E6DA6"/>
    <w:rsid w:val="008E785B"/>
    <w:rsid w:val="008F0062"/>
    <w:rsid w:val="008F038A"/>
    <w:rsid w:val="008F1B79"/>
    <w:rsid w:val="008F260F"/>
    <w:rsid w:val="008F3BE2"/>
    <w:rsid w:val="008F4852"/>
    <w:rsid w:val="008F50A2"/>
    <w:rsid w:val="008F649C"/>
    <w:rsid w:val="008F64B8"/>
    <w:rsid w:val="008F6892"/>
    <w:rsid w:val="008F73E8"/>
    <w:rsid w:val="008F7996"/>
    <w:rsid w:val="00901009"/>
    <w:rsid w:val="00901F0D"/>
    <w:rsid w:val="009022F3"/>
    <w:rsid w:val="0090255B"/>
    <w:rsid w:val="009026B5"/>
    <w:rsid w:val="00902BE4"/>
    <w:rsid w:val="00902DA2"/>
    <w:rsid w:val="00902EB5"/>
    <w:rsid w:val="00903973"/>
    <w:rsid w:val="00903AEC"/>
    <w:rsid w:val="00904112"/>
    <w:rsid w:val="009041C9"/>
    <w:rsid w:val="00905004"/>
    <w:rsid w:val="00905D0A"/>
    <w:rsid w:val="00906509"/>
    <w:rsid w:val="0090679E"/>
    <w:rsid w:val="00906975"/>
    <w:rsid w:val="00906F9F"/>
    <w:rsid w:val="00907237"/>
    <w:rsid w:val="00910EEE"/>
    <w:rsid w:val="009113A7"/>
    <w:rsid w:val="00911DEA"/>
    <w:rsid w:val="00911F01"/>
    <w:rsid w:val="009124D2"/>
    <w:rsid w:val="00912870"/>
    <w:rsid w:val="00912DCF"/>
    <w:rsid w:val="00914451"/>
    <w:rsid w:val="009153B8"/>
    <w:rsid w:val="00916853"/>
    <w:rsid w:val="00916F5E"/>
    <w:rsid w:val="009174AC"/>
    <w:rsid w:val="00917751"/>
    <w:rsid w:val="00917A1F"/>
    <w:rsid w:val="009201CB"/>
    <w:rsid w:val="0092071C"/>
    <w:rsid w:val="00920728"/>
    <w:rsid w:val="0092099D"/>
    <w:rsid w:val="009209B5"/>
    <w:rsid w:val="00922DFB"/>
    <w:rsid w:val="00923EE8"/>
    <w:rsid w:val="00923FB5"/>
    <w:rsid w:val="009243B5"/>
    <w:rsid w:val="00924CA4"/>
    <w:rsid w:val="00924D66"/>
    <w:rsid w:val="00925E89"/>
    <w:rsid w:val="00930214"/>
    <w:rsid w:val="00930B4C"/>
    <w:rsid w:val="00931968"/>
    <w:rsid w:val="00933A99"/>
    <w:rsid w:val="0093431C"/>
    <w:rsid w:val="009348C0"/>
    <w:rsid w:val="00934F21"/>
    <w:rsid w:val="0093652E"/>
    <w:rsid w:val="00936997"/>
    <w:rsid w:val="0093712C"/>
    <w:rsid w:val="00941A1A"/>
    <w:rsid w:val="00942B48"/>
    <w:rsid w:val="00942C53"/>
    <w:rsid w:val="009431BD"/>
    <w:rsid w:val="00943BD3"/>
    <w:rsid w:val="00944338"/>
    <w:rsid w:val="009448A4"/>
    <w:rsid w:val="00945694"/>
    <w:rsid w:val="00945F77"/>
    <w:rsid w:val="009463F0"/>
    <w:rsid w:val="00946A03"/>
    <w:rsid w:val="00946A0F"/>
    <w:rsid w:val="00946BE5"/>
    <w:rsid w:val="009470F1"/>
    <w:rsid w:val="00947140"/>
    <w:rsid w:val="009472D4"/>
    <w:rsid w:val="00947879"/>
    <w:rsid w:val="00947DD0"/>
    <w:rsid w:val="0095086A"/>
    <w:rsid w:val="00950F16"/>
    <w:rsid w:val="0095100A"/>
    <w:rsid w:val="00951463"/>
    <w:rsid w:val="0095272F"/>
    <w:rsid w:val="00953299"/>
    <w:rsid w:val="00953B9C"/>
    <w:rsid w:val="00953D99"/>
    <w:rsid w:val="00954A6F"/>
    <w:rsid w:val="009557C9"/>
    <w:rsid w:val="00955EE7"/>
    <w:rsid w:val="00956112"/>
    <w:rsid w:val="009561DE"/>
    <w:rsid w:val="00956E4D"/>
    <w:rsid w:val="00956E56"/>
    <w:rsid w:val="009571F7"/>
    <w:rsid w:val="0095766F"/>
    <w:rsid w:val="0096095B"/>
    <w:rsid w:val="009610EE"/>
    <w:rsid w:val="009613C8"/>
    <w:rsid w:val="00961B33"/>
    <w:rsid w:val="00961D4E"/>
    <w:rsid w:val="00961EF4"/>
    <w:rsid w:val="009628A0"/>
    <w:rsid w:val="0096300A"/>
    <w:rsid w:val="0096362C"/>
    <w:rsid w:val="0096389A"/>
    <w:rsid w:val="009640F2"/>
    <w:rsid w:val="00964252"/>
    <w:rsid w:val="009642F4"/>
    <w:rsid w:val="00964AA8"/>
    <w:rsid w:val="00964CA9"/>
    <w:rsid w:val="0096565E"/>
    <w:rsid w:val="00966588"/>
    <w:rsid w:val="00966A77"/>
    <w:rsid w:val="009675B2"/>
    <w:rsid w:val="0096796E"/>
    <w:rsid w:val="00970558"/>
    <w:rsid w:val="00970956"/>
    <w:rsid w:val="00970988"/>
    <w:rsid w:val="00970B20"/>
    <w:rsid w:val="00970C5D"/>
    <w:rsid w:val="00970E17"/>
    <w:rsid w:val="00970FE5"/>
    <w:rsid w:val="009717E1"/>
    <w:rsid w:val="00972B8F"/>
    <w:rsid w:val="009736F6"/>
    <w:rsid w:val="00973A94"/>
    <w:rsid w:val="00973D2A"/>
    <w:rsid w:val="00974565"/>
    <w:rsid w:val="009749CE"/>
    <w:rsid w:val="00974A34"/>
    <w:rsid w:val="00974B93"/>
    <w:rsid w:val="009755CE"/>
    <w:rsid w:val="0097591B"/>
    <w:rsid w:val="00976037"/>
    <w:rsid w:val="00976F74"/>
    <w:rsid w:val="009775FB"/>
    <w:rsid w:val="00977C6A"/>
    <w:rsid w:val="009824DD"/>
    <w:rsid w:val="00983026"/>
    <w:rsid w:val="00983A8E"/>
    <w:rsid w:val="00984CDD"/>
    <w:rsid w:val="00985947"/>
    <w:rsid w:val="00985FB0"/>
    <w:rsid w:val="00986207"/>
    <w:rsid w:val="00986A99"/>
    <w:rsid w:val="009875A8"/>
    <w:rsid w:val="009875DF"/>
    <w:rsid w:val="00987714"/>
    <w:rsid w:val="009903F3"/>
    <w:rsid w:val="009916D9"/>
    <w:rsid w:val="00991887"/>
    <w:rsid w:val="00991CCD"/>
    <w:rsid w:val="0099292B"/>
    <w:rsid w:val="0099315E"/>
    <w:rsid w:val="0099399F"/>
    <w:rsid w:val="00993A4C"/>
    <w:rsid w:val="00993BFE"/>
    <w:rsid w:val="00994B15"/>
    <w:rsid w:val="00994DAA"/>
    <w:rsid w:val="0099513B"/>
    <w:rsid w:val="00995743"/>
    <w:rsid w:val="0099635F"/>
    <w:rsid w:val="009969F8"/>
    <w:rsid w:val="00996BCD"/>
    <w:rsid w:val="00997621"/>
    <w:rsid w:val="00997BBE"/>
    <w:rsid w:val="009A0628"/>
    <w:rsid w:val="009A1250"/>
    <w:rsid w:val="009A28E9"/>
    <w:rsid w:val="009A2EB7"/>
    <w:rsid w:val="009A407A"/>
    <w:rsid w:val="009A5C47"/>
    <w:rsid w:val="009A5F9D"/>
    <w:rsid w:val="009A6418"/>
    <w:rsid w:val="009A6A4A"/>
    <w:rsid w:val="009A6E79"/>
    <w:rsid w:val="009B02B8"/>
    <w:rsid w:val="009B10B1"/>
    <w:rsid w:val="009B20DB"/>
    <w:rsid w:val="009B2DB6"/>
    <w:rsid w:val="009B2EF9"/>
    <w:rsid w:val="009B310E"/>
    <w:rsid w:val="009B31AA"/>
    <w:rsid w:val="009B3928"/>
    <w:rsid w:val="009B3D78"/>
    <w:rsid w:val="009B45C1"/>
    <w:rsid w:val="009B4949"/>
    <w:rsid w:val="009B5C80"/>
    <w:rsid w:val="009B740A"/>
    <w:rsid w:val="009B7F8B"/>
    <w:rsid w:val="009C0E86"/>
    <w:rsid w:val="009C0EA5"/>
    <w:rsid w:val="009C14BC"/>
    <w:rsid w:val="009C1500"/>
    <w:rsid w:val="009C1555"/>
    <w:rsid w:val="009C2068"/>
    <w:rsid w:val="009C3449"/>
    <w:rsid w:val="009C362E"/>
    <w:rsid w:val="009C36A2"/>
    <w:rsid w:val="009C42D6"/>
    <w:rsid w:val="009C4FC0"/>
    <w:rsid w:val="009C5493"/>
    <w:rsid w:val="009C56DF"/>
    <w:rsid w:val="009C6E44"/>
    <w:rsid w:val="009C71E8"/>
    <w:rsid w:val="009C78D9"/>
    <w:rsid w:val="009D13D3"/>
    <w:rsid w:val="009D1524"/>
    <w:rsid w:val="009D1DC8"/>
    <w:rsid w:val="009D2903"/>
    <w:rsid w:val="009D41C0"/>
    <w:rsid w:val="009D422A"/>
    <w:rsid w:val="009D48B7"/>
    <w:rsid w:val="009D4F0E"/>
    <w:rsid w:val="009D562B"/>
    <w:rsid w:val="009D61AB"/>
    <w:rsid w:val="009D61DB"/>
    <w:rsid w:val="009D62A5"/>
    <w:rsid w:val="009D75CF"/>
    <w:rsid w:val="009E074E"/>
    <w:rsid w:val="009E0D51"/>
    <w:rsid w:val="009E380A"/>
    <w:rsid w:val="009E5EA1"/>
    <w:rsid w:val="009E6C0E"/>
    <w:rsid w:val="009E78A8"/>
    <w:rsid w:val="009F0215"/>
    <w:rsid w:val="009F0CBE"/>
    <w:rsid w:val="009F1D3A"/>
    <w:rsid w:val="009F1D7C"/>
    <w:rsid w:val="009F1DB5"/>
    <w:rsid w:val="009F221C"/>
    <w:rsid w:val="009F2B84"/>
    <w:rsid w:val="009F38AB"/>
    <w:rsid w:val="009F3E4C"/>
    <w:rsid w:val="009F3E80"/>
    <w:rsid w:val="009F3FFC"/>
    <w:rsid w:val="009F4387"/>
    <w:rsid w:val="009F44B0"/>
    <w:rsid w:val="009F47EC"/>
    <w:rsid w:val="009F4916"/>
    <w:rsid w:val="009F4DFC"/>
    <w:rsid w:val="009F556E"/>
    <w:rsid w:val="009F6C73"/>
    <w:rsid w:val="009F7468"/>
    <w:rsid w:val="009F7EA0"/>
    <w:rsid w:val="00A00F0A"/>
    <w:rsid w:val="00A01443"/>
    <w:rsid w:val="00A018A6"/>
    <w:rsid w:val="00A019AB"/>
    <w:rsid w:val="00A0205F"/>
    <w:rsid w:val="00A02211"/>
    <w:rsid w:val="00A02B3D"/>
    <w:rsid w:val="00A02D24"/>
    <w:rsid w:val="00A0314C"/>
    <w:rsid w:val="00A041E9"/>
    <w:rsid w:val="00A04A3B"/>
    <w:rsid w:val="00A04A59"/>
    <w:rsid w:val="00A04B12"/>
    <w:rsid w:val="00A04BBD"/>
    <w:rsid w:val="00A05074"/>
    <w:rsid w:val="00A06BFC"/>
    <w:rsid w:val="00A06C6C"/>
    <w:rsid w:val="00A07458"/>
    <w:rsid w:val="00A07CE5"/>
    <w:rsid w:val="00A07E05"/>
    <w:rsid w:val="00A10725"/>
    <w:rsid w:val="00A10A32"/>
    <w:rsid w:val="00A12F82"/>
    <w:rsid w:val="00A1311D"/>
    <w:rsid w:val="00A13234"/>
    <w:rsid w:val="00A13475"/>
    <w:rsid w:val="00A13A9D"/>
    <w:rsid w:val="00A14ADC"/>
    <w:rsid w:val="00A15268"/>
    <w:rsid w:val="00A163EA"/>
    <w:rsid w:val="00A16DA4"/>
    <w:rsid w:val="00A17D9F"/>
    <w:rsid w:val="00A20781"/>
    <w:rsid w:val="00A2296B"/>
    <w:rsid w:val="00A22E77"/>
    <w:rsid w:val="00A23649"/>
    <w:rsid w:val="00A2373E"/>
    <w:rsid w:val="00A23B50"/>
    <w:rsid w:val="00A24362"/>
    <w:rsid w:val="00A246DF"/>
    <w:rsid w:val="00A24F9B"/>
    <w:rsid w:val="00A2585C"/>
    <w:rsid w:val="00A25C08"/>
    <w:rsid w:val="00A25D7F"/>
    <w:rsid w:val="00A2624E"/>
    <w:rsid w:val="00A27EAB"/>
    <w:rsid w:val="00A301F5"/>
    <w:rsid w:val="00A316C5"/>
    <w:rsid w:val="00A31FD7"/>
    <w:rsid w:val="00A321A8"/>
    <w:rsid w:val="00A32960"/>
    <w:rsid w:val="00A34359"/>
    <w:rsid w:val="00A34D5C"/>
    <w:rsid w:val="00A34F24"/>
    <w:rsid w:val="00A41DC5"/>
    <w:rsid w:val="00A428FD"/>
    <w:rsid w:val="00A42ADA"/>
    <w:rsid w:val="00A42EE5"/>
    <w:rsid w:val="00A44102"/>
    <w:rsid w:val="00A44220"/>
    <w:rsid w:val="00A44F59"/>
    <w:rsid w:val="00A45170"/>
    <w:rsid w:val="00A45760"/>
    <w:rsid w:val="00A467A8"/>
    <w:rsid w:val="00A46AA8"/>
    <w:rsid w:val="00A46C17"/>
    <w:rsid w:val="00A47A34"/>
    <w:rsid w:val="00A47B84"/>
    <w:rsid w:val="00A509B8"/>
    <w:rsid w:val="00A50AD9"/>
    <w:rsid w:val="00A51710"/>
    <w:rsid w:val="00A52512"/>
    <w:rsid w:val="00A527D8"/>
    <w:rsid w:val="00A53493"/>
    <w:rsid w:val="00A54568"/>
    <w:rsid w:val="00A55267"/>
    <w:rsid w:val="00A57062"/>
    <w:rsid w:val="00A57947"/>
    <w:rsid w:val="00A616AF"/>
    <w:rsid w:val="00A61FB4"/>
    <w:rsid w:val="00A6272B"/>
    <w:rsid w:val="00A62B62"/>
    <w:rsid w:val="00A62E01"/>
    <w:rsid w:val="00A63239"/>
    <w:rsid w:val="00A637C0"/>
    <w:rsid w:val="00A639E0"/>
    <w:rsid w:val="00A64214"/>
    <w:rsid w:val="00A65257"/>
    <w:rsid w:val="00A66C49"/>
    <w:rsid w:val="00A66D62"/>
    <w:rsid w:val="00A671DA"/>
    <w:rsid w:val="00A672B9"/>
    <w:rsid w:val="00A67B72"/>
    <w:rsid w:val="00A67C33"/>
    <w:rsid w:val="00A70006"/>
    <w:rsid w:val="00A70BEE"/>
    <w:rsid w:val="00A71075"/>
    <w:rsid w:val="00A71567"/>
    <w:rsid w:val="00A7210F"/>
    <w:rsid w:val="00A73A2D"/>
    <w:rsid w:val="00A73E61"/>
    <w:rsid w:val="00A7515E"/>
    <w:rsid w:val="00A7651E"/>
    <w:rsid w:val="00A77F2F"/>
    <w:rsid w:val="00A801F3"/>
    <w:rsid w:val="00A80850"/>
    <w:rsid w:val="00A80B72"/>
    <w:rsid w:val="00A81017"/>
    <w:rsid w:val="00A8162D"/>
    <w:rsid w:val="00A818E8"/>
    <w:rsid w:val="00A8195B"/>
    <w:rsid w:val="00A81BCD"/>
    <w:rsid w:val="00A845B9"/>
    <w:rsid w:val="00A84D15"/>
    <w:rsid w:val="00A8546A"/>
    <w:rsid w:val="00A85701"/>
    <w:rsid w:val="00A8633F"/>
    <w:rsid w:val="00A86E05"/>
    <w:rsid w:val="00A86EBC"/>
    <w:rsid w:val="00A8754B"/>
    <w:rsid w:val="00A87DDD"/>
    <w:rsid w:val="00A87E58"/>
    <w:rsid w:val="00A87E5A"/>
    <w:rsid w:val="00A907C7"/>
    <w:rsid w:val="00A90D1D"/>
    <w:rsid w:val="00A9107B"/>
    <w:rsid w:val="00A91D09"/>
    <w:rsid w:val="00A91F7E"/>
    <w:rsid w:val="00A92F80"/>
    <w:rsid w:val="00A930F0"/>
    <w:rsid w:val="00A9346A"/>
    <w:rsid w:val="00A94CA2"/>
    <w:rsid w:val="00A9552E"/>
    <w:rsid w:val="00A9557A"/>
    <w:rsid w:val="00A9570E"/>
    <w:rsid w:val="00A97142"/>
    <w:rsid w:val="00AA06B8"/>
    <w:rsid w:val="00AA2B75"/>
    <w:rsid w:val="00AA2F52"/>
    <w:rsid w:val="00AA3DE4"/>
    <w:rsid w:val="00AA4763"/>
    <w:rsid w:val="00AA4F97"/>
    <w:rsid w:val="00AA6003"/>
    <w:rsid w:val="00AA6C03"/>
    <w:rsid w:val="00AA711E"/>
    <w:rsid w:val="00AB066E"/>
    <w:rsid w:val="00AB0E2E"/>
    <w:rsid w:val="00AB10FE"/>
    <w:rsid w:val="00AB2107"/>
    <w:rsid w:val="00AB238F"/>
    <w:rsid w:val="00AB2BA9"/>
    <w:rsid w:val="00AB2E75"/>
    <w:rsid w:val="00AB3668"/>
    <w:rsid w:val="00AB41D0"/>
    <w:rsid w:val="00AB44BC"/>
    <w:rsid w:val="00AB4844"/>
    <w:rsid w:val="00AB52AF"/>
    <w:rsid w:val="00AB5497"/>
    <w:rsid w:val="00AB5A38"/>
    <w:rsid w:val="00AB5DFA"/>
    <w:rsid w:val="00AB60CC"/>
    <w:rsid w:val="00AB7C4F"/>
    <w:rsid w:val="00AC1257"/>
    <w:rsid w:val="00AC2232"/>
    <w:rsid w:val="00AC2280"/>
    <w:rsid w:val="00AC2392"/>
    <w:rsid w:val="00AC2AE5"/>
    <w:rsid w:val="00AC6286"/>
    <w:rsid w:val="00AC647D"/>
    <w:rsid w:val="00AC72BB"/>
    <w:rsid w:val="00AC75B8"/>
    <w:rsid w:val="00AC7A96"/>
    <w:rsid w:val="00AD0244"/>
    <w:rsid w:val="00AD0B90"/>
    <w:rsid w:val="00AD0E04"/>
    <w:rsid w:val="00AD196E"/>
    <w:rsid w:val="00AD2FAF"/>
    <w:rsid w:val="00AD3710"/>
    <w:rsid w:val="00AD37B2"/>
    <w:rsid w:val="00AD4A11"/>
    <w:rsid w:val="00AD4A69"/>
    <w:rsid w:val="00AD5194"/>
    <w:rsid w:val="00AD5AD5"/>
    <w:rsid w:val="00AD5DED"/>
    <w:rsid w:val="00AD685C"/>
    <w:rsid w:val="00AD6883"/>
    <w:rsid w:val="00AD6F3A"/>
    <w:rsid w:val="00AD78E1"/>
    <w:rsid w:val="00AE031B"/>
    <w:rsid w:val="00AE17D3"/>
    <w:rsid w:val="00AE1ECD"/>
    <w:rsid w:val="00AE32C0"/>
    <w:rsid w:val="00AE37CE"/>
    <w:rsid w:val="00AE39BA"/>
    <w:rsid w:val="00AE4FFD"/>
    <w:rsid w:val="00AE6DEE"/>
    <w:rsid w:val="00AE76DE"/>
    <w:rsid w:val="00AE7894"/>
    <w:rsid w:val="00AF038B"/>
    <w:rsid w:val="00AF05ED"/>
    <w:rsid w:val="00AF0864"/>
    <w:rsid w:val="00AF0E1A"/>
    <w:rsid w:val="00AF2896"/>
    <w:rsid w:val="00AF3364"/>
    <w:rsid w:val="00AF3434"/>
    <w:rsid w:val="00AF3D12"/>
    <w:rsid w:val="00AF3F0D"/>
    <w:rsid w:val="00AF437B"/>
    <w:rsid w:val="00AF65C9"/>
    <w:rsid w:val="00AF6664"/>
    <w:rsid w:val="00AF6C24"/>
    <w:rsid w:val="00AF6C29"/>
    <w:rsid w:val="00B00019"/>
    <w:rsid w:val="00B004A3"/>
    <w:rsid w:val="00B00D76"/>
    <w:rsid w:val="00B0122A"/>
    <w:rsid w:val="00B01476"/>
    <w:rsid w:val="00B02555"/>
    <w:rsid w:val="00B0291C"/>
    <w:rsid w:val="00B038EB"/>
    <w:rsid w:val="00B042D9"/>
    <w:rsid w:val="00B04722"/>
    <w:rsid w:val="00B04723"/>
    <w:rsid w:val="00B04A1F"/>
    <w:rsid w:val="00B05089"/>
    <w:rsid w:val="00B06862"/>
    <w:rsid w:val="00B068F6"/>
    <w:rsid w:val="00B06D9A"/>
    <w:rsid w:val="00B07E96"/>
    <w:rsid w:val="00B10AF9"/>
    <w:rsid w:val="00B11F6B"/>
    <w:rsid w:val="00B124EF"/>
    <w:rsid w:val="00B12633"/>
    <w:rsid w:val="00B12A1B"/>
    <w:rsid w:val="00B12AC9"/>
    <w:rsid w:val="00B148BA"/>
    <w:rsid w:val="00B15F7C"/>
    <w:rsid w:val="00B1602B"/>
    <w:rsid w:val="00B16C4E"/>
    <w:rsid w:val="00B17C23"/>
    <w:rsid w:val="00B204C7"/>
    <w:rsid w:val="00B20845"/>
    <w:rsid w:val="00B21998"/>
    <w:rsid w:val="00B21A82"/>
    <w:rsid w:val="00B223F0"/>
    <w:rsid w:val="00B22522"/>
    <w:rsid w:val="00B22D99"/>
    <w:rsid w:val="00B235BA"/>
    <w:rsid w:val="00B23B29"/>
    <w:rsid w:val="00B23C90"/>
    <w:rsid w:val="00B23E93"/>
    <w:rsid w:val="00B24920"/>
    <w:rsid w:val="00B25207"/>
    <w:rsid w:val="00B25C87"/>
    <w:rsid w:val="00B26650"/>
    <w:rsid w:val="00B26B74"/>
    <w:rsid w:val="00B273C4"/>
    <w:rsid w:val="00B27DE4"/>
    <w:rsid w:val="00B30225"/>
    <w:rsid w:val="00B30AA7"/>
    <w:rsid w:val="00B31F67"/>
    <w:rsid w:val="00B32F41"/>
    <w:rsid w:val="00B33564"/>
    <w:rsid w:val="00B3369B"/>
    <w:rsid w:val="00B33862"/>
    <w:rsid w:val="00B33A32"/>
    <w:rsid w:val="00B33EBC"/>
    <w:rsid w:val="00B34856"/>
    <w:rsid w:val="00B34941"/>
    <w:rsid w:val="00B3524B"/>
    <w:rsid w:val="00B35815"/>
    <w:rsid w:val="00B35C23"/>
    <w:rsid w:val="00B35D26"/>
    <w:rsid w:val="00B36474"/>
    <w:rsid w:val="00B3667B"/>
    <w:rsid w:val="00B3776B"/>
    <w:rsid w:val="00B37AD5"/>
    <w:rsid w:val="00B37FA5"/>
    <w:rsid w:val="00B40494"/>
    <w:rsid w:val="00B406B9"/>
    <w:rsid w:val="00B406E4"/>
    <w:rsid w:val="00B408BB"/>
    <w:rsid w:val="00B408EB"/>
    <w:rsid w:val="00B4099F"/>
    <w:rsid w:val="00B40B04"/>
    <w:rsid w:val="00B40DCF"/>
    <w:rsid w:val="00B41E68"/>
    <w:rsid w:val="00B431C8"/>
    <w:rsid w:val="00B449E0"/>
    <w:rsid w:val="00B460F2"/>
    <w:rsid w:val="00B46BFE"/>
    <w:rsid w:val="00B46DF8"/>
    <w:rsid w:val="00B46E41"/>
    <w:rsid w:val="00B4793C"/>
    <w:rsid w:val="00B47DDB"/>
    <w:rsid w:val="00B50BEF"/>
    <w:rsid w:val="00B539F4"/>
    <w:rsid w:val="00B53AE0"/>
    <w:rsid w:val="00B548C9"/>
    <w:rsid w:val="00B548F3"/>
    <w:rsid w:val="00B54ED6"/>
    <w:rsid w:val="00B553A7"/>
    <w:rsid w:val="00B55459"/>
    <w:rsid w:val="00B5572A"/>
    <w:rsid w:val="00B56A4B"/>
    <w:rsid w:val="00B56B7B"/>
    <w:rsid w:val="00B56F0B"/>
    <w:rsid w:val="00B572B1"/>
    <w:rsid w:val="00B605AB"/>
    <w:rsid w:val="00B61E6B"/>
    <w:rsid w:val="00B62C5F"/>
    <w:rsid w:val="00B63165"/>
    <w:rsid w:val="00B631A3"/>
    <w:rsid w:val="00B631E4"/>
    <w:rsid w:val="00B636FF"/>
    <w:rsid w:val="00B64067"/>
    <w:rsid w:val="00B640D5"/>
    <w:rsid w:val="00B6421F"/>
    <w:rsid w:val="00B6423B"/>
    <w:rsid w:val="00B64A1D"/>
    <w:rsid w:val="00B64B1E"/>
    <w:rsid w:val="00B65DF0"/>
    <w:rsid w:val="00B66058"/>
    <w:rsid w:val="00B66678"/>
    <w:rsid w:val="00B67B99"/>
    <w:rsid w:val="00B67D67"/>
    <w:rsid w:val="00B70968"/>
    <w:rsid w:val="00B71A4F"/>
    <w:rsid w:val="00B72314"/>
    <w:rsid w:val="00B7235B"/>
    <w:rsid w:val="00B725DB"/>
    <w:rsid w:val="00B72A40"/>
    <w:rsid w:val="00B734C0"/>
    <w:rsid w:val="00B73F13"/>
    <w:rsid w:val="00B7436A"/>
    <w:rsid w:val="00B746E4"/>
    <w:rsid w:val="00B74D7C"/>
    <w:rsid w:val="00B74DD1"/>
    <w:rsid w:val="00B7540B"/>
    <w:rsid w:val="00B75D53"/>
    <w:rsid w:val="00B80D9B"/>
    <w:rsid w:val="00B819A3"/>
    <w:rsid w:val="00B81ED5"/>
    <w:rsid w:val="00B828BB"/>
    <w:rsid w:val="00B82B84"/>
    <w:rsid w:val="00B8354A"/>
    <w:rsid w:val="00B83B74"/>
    <w:rsid w:val="00B83FDA"/>
    <w:rsid w:val="00B8425E"/>
    <w:rsid w:val="00B84417"/>
    <w:rsid w:val="00B84CE2"/>
    <w:rsid w:val="00B8581B"/>
    <w:rsid w:val="00B85BB5"/>
    <w:rsid w:val="00B86634"/>
    <w:rsid w:val="00B86B03"/>
    <w:rsid w:val="00B8716A"/>
    <w:rsid w:val="00B872C1"/>
    <w:rsid w:val="00B87398"/>
    <w:rsid w:val="00B87833"/>
    <w:rsid w:val="00B87B1F"/>
    <w:rsid w:val="00B9093E"/>
    <w:rsid w:val="00B90EB5"/>
    <w:rsid w:val="00B918B0"/>
    <w:rsid w:val="00B9197F"/>
    <w:rsid w:val="00B91FB8"/>
    <w:rsid w:val="00B925A5"/>
    <w:rsid w:val="00B92ABC"/>
    <w:rsid w:val="00B92B17"/>
    <w:rsid w:val="00B931E7"/>
    <w:rsid w:val="00B93ACE"/>
    <w:rsid w:val="00B93CC2"/>
    <w:rsid w:val="00B9413C"/>
    <w:rsid w:val="00B94F6C"/>
    <w:rsid w:val="00B96E14"/>
    <w:rsid w:val="00B970FF"/>
    <w:rsid w:val="00B976C0"/>
    <w:rsid w:val="00B97AEF"/>
    <w:rsid w:val="00B97F59"/>
    <w:rsid w:val="00BA0217"/>
    <w:rsid w:val="00BA0604"/>
    <w:rsid w:val="00BA0AB6"/>
    <w:rsid w:val="00BA0E01"/>
    <w:rsid w:val="00BA1B2B"/>
    <w:rsid w:val="00BA216F"/>
    <w:rsid w:val="00BA288D"/>
    <w:rsid w:val="00BA300C"/>
    <w:rsid w:val="00BA3363"/>
    <w:rsid w:val="00BA44CF"/>
    <w:rsid w:val="00BA4D7D"/>
    <w:rsid w:val="00BA5186"/>
    <w:rsid w:val="00BA5440"/>
    <w:rsid w:val="00BA5797"/>
    <w:rsid w:val="00BA5CAD"/>
    <w:rsid w:val="00BA6940"/>
    <w:rsid w:val="00BA6EB7"/>
    <w:rsid w:val="00BA76EE"/>
    <w:rsid w:val="00BB05EA"/>
    <w:rsid w:val="00BB0767"/>
    <w:rsid w:val="00BB0C01"/>
    <w:rsid w:val="00BB0D2B"/>
    <w:rsid w:val="00BB0D34"/>
    <w:rsid w:val="00BB0E22"/>
    <w:rsid w:val="00BB0E5B"/>
    <w:rsid w:val="00BB0F1D"/>
    <w:rsid w:val="00BB115B"/>
    <w:rsid w:val="00BB2440"/>
    <w:rsid w:val="00BB2867"/>
    <w:rsid w:val="00BB2E04"/>
    <w:rsid w:val="00BB41A0"/>
    <w:rsid w:val="00BB4274"/>
    <w:rsid w:val="00BB4883"/>
    <w:rsid w:val="00BB5087"/>
    <w:rsid w:val="00BB5AC2"/>
    <w:rsid w:val="00BB6016"/>
    <w:rsid w:val="00BB6C0E"/>
    <w:rsid w:val="00BB7491"/>
    <w:rsid w:val="00BB75E2"/>
    <w:rsid w:val="00BB76BA"/>
    <w:rsid w:val="00BB76E1"/>
    <w:rsid w:val="00BC0030"/>
    <w:rsid w:val="00BC0478"/>
    <w:rsid w:val="00BC0A0F"/>
    <w:rsid w:val="00BC1B46"/>
    <w:rsid w:val="00BC23F2"/>
    <w:rsid w:val="00BC253F"/>
    <w:rsid w:val="00BC3DB0"/>
    <w:rsid w:val="00BC3F96"/>
    <w:rsid w:val="00BC47C4"/>
    <w:rsid w:val="00BC4E63"/>
    <w:rsid w:val="00BD13F1"/>
    <w:rsid w:val="00BD14D0"/>
    <w:rsid w:val="00BD3066"/>
    <w:rsid w:val="00BD36B0"/>
    <w:rsid w:val="00BD3CD2"/>
    <w:rsid w:val="00BD4C2C"/>
    <w:rsid w:val="00BD592B"/>
    <w:rsid w:val="00BD7DA9"/>
    <w:rsid w:val="00BE01A8"/>
    <w:rsid w:val="00BE1F1C"/>
    <w:rsid w:val="00BE1F95"/>
    <w:rsid w:val="00BE28C1"/>
    <w:rsid w:val="00BE576D"/>
    <w:rsid w:val="00BE6107"/>
    <w:rsid w:val="00BE6E7A"/>
    <w:rsid w:val="00BF0070"/>
    <w:rsid w:val="00BF0C50"/>
    <w:rsid w:val="00BF110C"/>
    <w:rsid w:val="00BF24EB"/>
    <w:rsid w:val="00BF2C25"/>
    <w:rsid w:val="00BF2EA4"/>
    <w:rsid w:val="00BF2EC9"/>
    <w:rsid w:val="00BF2F0D"/>
    <w:rsid w:val="00BF3927"/>
    <w:rsid w:val="00BF3BA9"/>
    <w:rsid w:val="00BF3F71"/>
    <w:rsid w:val="00BF4169"/>
    <w:rsid w:val="00BF43C5"/>
    <w:rsid w:val="00BF4813"/>
    <w:rsid w:val="00BF64DD"/>
    <w:rsid w:val="00BF76E3"/>
    <w:rsid w:val="00BF7A35"/>
    <w:rsid w:val="00C01628"/>
    <w:rsid w:val="00C017D3"/>
    <w:rsid w:val="00C01E78"/>
    <w:rsid w:val="00C03B65"/>
    <w:rsid w:val="00C043F4"/>
    <w:rsid w:val="00C04668"/>
    <w:rsid w:val="00C04AA4"/>
    <w:rsid w:val="00C05444"/>
    <w:rsid w:val="00C066E6"/>
    <w:rsid w:val="00C06B2F"/>
    <w:rsid w:val="00C073BA"/>
    <w:rsid w:val="00C075BB"/>
    <w:rsid w:val="00C07769"/>
    <w:rsid w:val="00C07C82"/>
    <w:rsid w:val="00C11815"/>
    <w:rsid w:val="00C12382"/>
    <w:rsid w:val="00C125AA"/>
    <w:rsid w:val="00C133A3"/>
    <w:rsid w:val="00C13C06"/>
    <w:rsid w:val="00C14398"/>
    <w:rsid w:val="00C1453B"/>
    <w:rsid w:val="00C15140"/>
    <w:rsid w:val="00C15C40"/>
    <w:rsid w:val="00C15CD2"/>
    <w:rsid w:val="00C15FA3"/>
    <w:rsid w:val="00C16527"/>
    <w:rsid w:val="00C176D7"/>
    <w:rsid w:val="00C17E2C"/>
    <w:rsid w:val="00C20851"/>
    <w:rsid w:val="00C20893"/>
    <w:rsid w:val="00C20AE2"/>
    <w:rsid w:val="00C21F2D"/>
    <w:rsid w:val="00C220F8"/>
    <w:rsid w:val="00C238E4"/>
    <w:rsid w:val="00C23B6D"/>
    <w:rsid w:val="00C23C71"/>
    <w:rsid w:val="00C24C0B"/>
    <w:rsid w:val="00C25806"/>
    <w:rsid w:val="00C27247"/>
    <w:rsid w:val="00C27448"/>
    <w:rsid w:val="00C279F2"/>
    <w:rsid w:val="00C30B80"/>
    <w:rsid w:val="00C30CA5"/>
    <w:rsid w:val="00C31080"/>
    <w:rsid w:val="00C31749"/>
    <w:rsid w:val="00C31CE5"/>
    <w:rsid w:val="00C32BBA"/>
    <w:rsid w:val="00C36523"/>
    <w:rsid w:val="00C367BA"/>
    <w:rsid w:val="00C3713E"/>
    <w:rsid w:val="00C37DF6"/>
    <w:rsid w:val="00C408FB"/>
    <w:rsid w:val="00C40EE1"/>
    <w:rsid w:val="00C4127C"/>
    <w:rsid w:val="00C41C3E"/>
    <w:rsid w:val="00C420DE"/>
    <w:rsid w:val="00C429D0"/>
    <w:rsid w:val="00C430F0"/>
    <w:rsid w:val="00C43A58"/>
    <w:rsid w:val="00C443E9"/>
    <w:rsid w:val="00C45137"/>
    <w:rsid w:val="00C458C6"/>
    <w:rsid w:val="00C45F2A"/>
    <w:rsid w:val="00C46571"/>
    <w:rsid w:val="00C46690"/>
    <w:rsid w:val="00C4697B"/>
    <w:rsid w:val="00C47355"/>
    <w:rsid w:val="00C47A17"/>
    <w:rsid w:val="00C47AAD"/>
    <w:rsid w:val="00C5027A"/>
    <w:rsid w:val="00C51998"/>
    <w:rsid w:val="00C51D65"/>
    <w:rsid w:val="00C51F79"/>
    <w:rsid w:val="00C52CEF"/>
    <w:rsid w:val="00C53248"/>
    <w:rsid w:val="00C5351A"/>
    <w:rsid w:val="00C535FD"/>
    <w:rsid w:val="00C54121"/>
    <w:rsid w:val="00C54A35"/>
    <w:rsid w:val="00C54C78"/>
    <w:rsid w:val="00C56B30"/>
    <w:rsid w:val="00C56F1F"/>
    <w:rsid w:val="00C6071C"/>
    <w:rsid w:val="00C61751"/>
    <w:rsid w:val="00C62043"/>
    <w:rsid w:val="00C62600"/>
    <w:rsid w:val="00C62BA9"/>
    <w:rsid w:val="00C62E37"/>
    <w:rsid w:val="00C64866"/>
    <w:rsid w:val="00C65098"/>
    <w:rsid w:val="00C654BE"/>
    <w:rsid w:val="00C65D37"/>
    <w:rsid w:val="00C66BAA"/>
    <w:rsid w:val="00C676D1"/>
    <w:rsid w:val="00C7034D"/>
    <w:rsid w:val="00C704C8"/>
    <w:rsid w:val="00C705C8"/>
    <w:rsid w:val="00C707B7"/>
    <w:rsid w:val="00C711D8"/>
    <w:rsid w:val="00C719BD"/>
    <w:rsid w:val="00C72C53"/>
    <w:rsid w:val="00C72D30"/>
    <w:rsid w:val="00C73413"/>
    <w:rsid w:val="00C73D52"/>
    <w:rsid w:val="00C73FBF"/>
    <w:rsid w:val="00C74533"/>
    <w:rsid w:val="00C74DC7"/>
    <w:rsid w:val="00C74E76"/>
    <w:rsid w:val="00C755C1"/>
    <w:rsid w:val="00C75B9B"/>
    <w:rsid w:val="00C75D6F"/>
    <w:rsid w:val="00C774A6"/>
    <w:rsid w:val="00C80019"/>
    <w:rsid w:val="00C8040A"/>
    <w:rsid w:val="00C81040"/>
    <w:rsid w:val="00C8163E"/>
    <w:rsid w:val="00C8454D"/>
    <w:rsid w:val="00C84AE8"/>
    <w:rsid w:val="00C85804"/>
    <w:rsid w:val="00C85EED"/>
    <w:rsid w:val="00C85F5A"/>
    <w:rsid w:val="00C8613B"/>
    <w:rsid w:val="00C86750"/>
    <w:rsid w:val="00C86EA3"/>
    <w:rsid w:val="00C87231"/>
    <w:rsid w:val="00C87CB2"/>
    <w:rsid w:val="00C87FBD"/>
    <w:rsid w:val="00C9007B"/>
    <w:rsid w:val="00C902BF"/>
    <w:rsid w:val="00C902E2"/>
    <w:rsid w:val="00C9117E"/>
    <w:rsid w:val="00C91580"/>
    <w:rsid w:val="00C91732"/>
    <w:rsid w:val="00C91BAF"/>
    <w:rsid w:val="00C929CA"/>
    <w:rsid w:val="00C92D93"/>
    <w:rsid w:val="00C92D9A"/>
    <w:rsid w:val="00C92E79"/>
    <w:rsid w:val="00C92ECF"/>
    <w:rsid w:val="00C93169"/>
    <w:rsid w:val="00C96282"/>
    <w:rsid w:val="00C96425"/>
    <w:rsid w:val="00C969F1"/>
    <w:rsid w:val="00C9731F"/>
    <w:rsid w:val="00C97571"/>
    <w:rsid w:val="00CA0CB4"/>
    <w:rsid w:val="00CA2878"/>
    <w:rsid w:val="00CA3443"/>
    <w:rsid w:val="00CA3803"/>
    <w:rsid w:val="00CA423E"/>
    <w:rsid w:val="00CA46BB"/>
    <w:rsid w:val="00CA4B1B"/>
    <w:rsid w:val="00CA5B44"/>
    <w:rsid w:val="00CA6332"/>
    <w:rsid w:val="00CA66BB"/>
    <w:rsid w:val="00CA68BF"/>
    <w:rsid w:val="00CB0457"/>
    <w:rsid w:val="00CB0C85"/>
    <w:rsid w:val="00CB100C"/>
    <w:rsid w:val="00CB11A6"/>
    <w:rsid w:val="00CB15E9"/>
    <w:rsid w:val="00CB1B49"/>
    <w:rsid w:val="00CB1C21"/>
    <w:rsid w:val="00CB2520"/>
    <w:rsid w:val="00CB3E7F"/>
    <w:rsid w:val="00CB4517"/>
    <w:rsid w:val="00CB4D9E"/>
    <w:rsid w:val="00CB5843"/>
    <w:rsid w:val="00CB59D1"/>
    <w:rsid w:val="00CB5EF4"/>
    <w:rsid w:val="00CB6698"/>
    <w:rsid w:val="00CB7156"/>
    <w:rsid w:val="00CB7419"/>
    <w:rsid w:val="00CB7A03"/>
    <w:rsid w:val="00CC021F"/>
    <w:rsid w:val="00CC1960"/>
    <w:rsid w:val="00CC30E3"/>
    <w:rsid w:val="00CC32AF"/>
    <w:rsid w:val="00CC341C"/>
    <w:rsid w:val="00CC39D1"/>
    <w:rsid w:val="00CC3DCE"/>
    <w:rsid w:val="00CC40D5"/>
    <w:rsid w:val="00CC43F2"/>
    <w:rsid w:val="00CC4D0A"/>
    <w:rsid w:val="00CC68B3"/>
    <w:rsid w:val="00CC6D93"/>
    <w:rsid w:val="00CC6FEF"/>
    <w:rsid w:val="00CC74CD"/>
    <w:rsid w:val="00CC7972"/>
    <w:rsid w:val="00CC7ACC"/>
    <w:rsid w:val="00CD1862"/>
    <w:rsid w:val="00CD269C"/>
    <w:rsid w:val="00CD2715"/>
    <w:rsid w:val="00CD31D7"/>
    <w:rsid w:val="00CD3ABB"/>
    <w:rsid w:val="00CD3F21"/>
    <w:rsid w:val="00CD4385"/>
    <w:rsid w:val="00CD4712"/>
    <w:rsid w:val="00CD4C08"/>
    <w:rsid w:val="00CD56CE"/>
    <w:rsid w:val="00CD5830"/>
    <w:rsid w:val="00CD5BF6"/>
    <w:rsid w:val="00CD67B1"/>
    <w:rsid w:val="00CD6CED"/>
    <w:rsid w:val="00CE036D"/>
    <w:rsid w:val="00CE1205"/>
    <w:rsid w:val="00CE1BF0"/>
    <w:rsid w:val="00CE217D"/>
    <w:rsid w:val="00CE29C3"/>
    <w:rsid w:val="00CE2E16"/>
    <w:rsid w:val="00CE3285"/>
    <w:rsid w:val="00CE32B4"/>
    <w:rsid w:val="00CE34FF"/>
    <w:rsid w:val="00CE3975"/>
    <w:rsid w:val="00CE44D7"/>
    <w:rsid w:val="00CE4BC3"/>
    <w:rsid w:val="00CE4D4B"/>
    <w:rsid w:val="00CE6F5A"/>
    <w:rsid w:val="00CE7A02"/>
    <w:rsid w:val="00CE7B8A"/>
    <w:rsid w:val="00CE7BC7"/>
    <w:rsid w:val="00CE7D20"/>
    <w:rsid w:val="00CE7E8E"/>
    <w:rsid w:val="00CF15B4"/>
    <w:rsid w:val="00CF17DB"/>
    <w:rsid w:val="00CF1B22"/>
    <w:rsid w:val="00CF1E5C"/>
    <w:rsid w:val="00CF25DC"/>
    <w:rsid w:val="00CF275B"/>
    <w:rsid w:val="00CF28CA"/>
    <w:rsid w:val="00CF31B4"/>
    <w:rsid w:val="00CF31BB"/>
    <w:rsid w:val="00CF531D"/>
    <w:rsid w:val="00CF6963"/>
    <w:rsid w:val="00CF6DA6"/>
    <w:rsid w:val="00CF6E19"/>
    <w:rsid w:val="00CF7936"/>
    <w:rsid w:val="00CF7DF0"/>
    <w:rsid w:val="00D0117C"/>
    <w:rsid w:val="00D01C56"/>
    <w:rsid w:val="00D023E7"/>
    <w:rsid w:val="00D034D6"/>
    <w:rsid w:val="00D037D1"/>
    <w:rsid w:val="00D03F36"/>
    <w:rsid w:val="00D04609"/>
    <w:rsid w:val="00D0465E"/>
    <w:rsid w:val="00D04D7F"/>
    <w:rsid w:val="00D056DC"/>
    <w:rsid w:val="00D0718D"/>
    <w:rsid w:val="00D07466"/>
    <w:rsid w:val="00D07CEB"/>
    <w:rsid w:val="00D07D9C"/>
    <w:rsid w:val="00D07E64"/>
    <w:rsid w:val="00D101EC"/>
    <w:rsid w:val="00D106B4"/>
    <w:rsid w:val="00D10A18"/>
    <w:rsid w:val="00D10A24"/>
    <w:rsid w:val="00D10EA3"/>
    <w:rsid w:val="00D114BE"/>
    <w:rsid w:val="00D114F9"/>
    <w:rsid w:val="00D1159A"/>
    <w:rsid w:val="00D11D2C"/>
    <w:rsid w:val="00D12761"/>
    <w:rsid w:val="00D12B14"/>
    <w:rsid w:val="00D132FC"/>
    <w:rsid w:val="00D14D69"/>
    <w:rsid w:val="00D14DF5"/>
    <w:rsid w:val="00D14E44"/>
    <w:rsid w:val="00D14EA8"/>
    <w:rsid w:val="00D15029"/>
    <w:rsid w:val="00D15390"/>
    <w:rsid w:val="00D15473"/>
    <w:rsid w:val="00D15475"/>
    <w:rsid w:val="00D159DC"/>
    <w:rsid w:val="00D15DEB"/>
    <w:rsid w:val="00D16E03"/>
    <w:rsid w:val="00D16F3F"/>
    <w:rsid w:val="00D2038B"/>
    <w:rsid w:val="00D20A21"/>
    <w:rsid w:val="00D20E7B"/>
    <w:rsid w:val="00D213F5"/>
    <w:rsid w:val="00D21B25"/>
    <w:rsid w:val="00D21F79"/>
    <w:rsid w:val="00D222F6"/>
    <w:rsid w:val="00D2273D"/>
    <w:rsid w:val="00D23C7D"/>
    <w:rsid w:val="00D24AAF"/>
    <w:rsid w:val="00D250B9"/>
    <w:rsid w:val="00D252FC"/>
    <w:rsid w:val="00D25B18"/>
    <w:rsid w:val="00D269DD"/>
    <w:rsid w:val="00D271AE"/>
    <w:rsid w:val="00D272C7"/>
    <w:rsid w:val="00D27AB5"/>
    <w:rsid w:val="00D27F82"/>
    <w:rsid w:val="00D30151"/>
    <w:rsid w:val="00D317F8"/>
    <w:rsid w:val="00D32345"/>
    <w:rsid w:val="00D3308E"/>
    <w:rsid w:val="00D3314F"/>
    <w:rsid w:val="00D33473"/>
    <w:rsid w:val="00D335E0"/>
    <w:rsid w:val="00D34551"/>
    <w:rsid w:val="00D34B6E"/>
    <w:rsid w:val="00D3578A"/>
    <w:rsid w:val="00D372C6"/>
    <w:rsid w:val="00D37969"/>
    <w:rsid w:val="00D41591"/>
    <w:rsid w:val="00D41745"/>
    <w:rsid w:val="00D4175E"/>
    <w:rsid w:val="00D421CB"/>
    <w:rsid w:val="00D43A87"/>
    <w:rsid w:val="00D43AF6"/>
    <w:rsid w:val="00D45ABF"/>
    <w:rsid w:val="00D45DDF"/>
    <w:rsid w:val="00D464E1"/>
    <w:rsid w:val="00D466B2"/>
    <w:rsid w:val="00D46FAC"/>
    <w:rsid w:val="00D47268"/>
    <w:rsid w:val="00D47539"/>
    <w:rsid w:val="00D47D75"/>
    <w:rsid w:val="00D502A6"/>
    <w:rsid w:val="00D5136F"/>
    <w:rsid w:val="00D51725"/>
    <w:rsid w:val="00D51AA3"/>
    <w:rsid w:val="00D52283"/>
    <w:rsid w:val="00D52F15"/>
    <w:rsid w:val="00D53D22"/>
    <w:rsid w:val="00D5433C"/>
    <w:rsid w:val="00D548F0"/>
    <w:rsid w:val="00D54F49"/>
    <w:rsid w:val="00D5525B"/>
    <w:rsid w:val="00D567D3"/>
    <w:rsid w:val="00D568E1"/>
    <w:rsid w:val="00D5723E"/>
    <w:rsid w:val="00D57CB9"/>
    <w:rsid w:val="00D60D27"/>
    <w:rsid w:val="00D6107A"/>
    <w:rsid w:val="00D611E0"/>
    <w:rsid w:val="00D61F53"/>
    <w:rsid w:val="00D625BB"/>
    <w:rsid w:val="00D627FB"/>
    <w:rsid w:val="00D62AE9"/>
    <w:rsid w:val="00D62B0F"/>
    <w:rsid w:val="00D63196"/>
    <w:rsid w:val="00D63D8F"/>
    <w:rsid w:val="00D64C55"/>
    <w:rsid w:val="00D64C73"/>
    <w:rsid w:val="00D64CCF"/>
    <w:rsid w:val="00D6502E"/>
    <w:rsid w:val="00D6580E"/>
    <w:rsid w:val="00D66671"/>
    <w:rsid w:val="00D66EE9"/>
    <w:rsid w:val="00D67EFE"/>
    <w:rsid w:val="00D70791"/>
    <w:rsid w:val="00D709F5"/>
    <w:rsid w:val="00D716A5"/>
    <w:rsid w:val="00D720A2"/>
    <w:rsid w:val="00D72211"/>
    <w:rsid w:val="00D72452"/>
    <w:rsid w:val="00D72F5F"/>
    <w:rsid w:val="00D73D34"/>
    <w:rsid w:val="00D74020"/>
    <w:rsid w:val="00D7470D"/>
    <w:rsid w:val="00D74DB1"/>
    <w:rsid w:val="00D76007"/>
    <w:rsid w:val="00D7674A"/>
    <w:rsid w:val="00D77CC8"/>
    <w:rsid w:val="00D77DF0"/>
    <w:rsid w:val="00D81372"/>
    <w:rsid w:val="00D8169D"/>
    <w:rsid w:val="00D81F64"/>
    <w:rsid w:val="00D83F86"/>
    <w:rsid w:val="00D84EBB"/>
    <w:rsid w:val="00D84F3F"/>
    <w:rsid w:val="00D855C4"/>
    <w:rsid w:val="00D85C26"/>
    <w:rsid w:val="00D86A65"/>
    <w:rsid w:val="00D8726C"/>
    <w:rsid w:val="00D87424"/>
    <w:rsid w:val="00D87BDB"/>
    <w:rsid w:val="00D90F74"/>
    <w:rsid w:val="00D913BA"/>
    <w:rsid w:val="00D9243E"/>
    <w:rsid w:val="00D924B4"/>
    <w:rsid w:val="00D9266E"/>
    <w:rsid w:val="00D92CF7"/>
    <w:rsid w:val="00D94D88"/>
    <w:rsid w:val="00D9604F"/>
    <w:rsid w:val="00D973A6"/>
    <w:rsid w:val="00D97423"/>
    <w:rsid w:val="00D97F62"/>
    <w:rsid w:val="00DA0BA3"/>
    <w:rsid w:val="00DA0EDA"/>
    <w:rsid w:val="00DA0F7F"/>
    <w:rsid w:val="00DA155E"/>
    <w:rsid w:val="00DA1982"/>
    <w:rsid w:val="00DA20F4"/>
    <w:rsid w:val="00DA2A29"/>
    <w:rsid w:val="00DA3E71"/>
    <w:rsid w:val="00DA3F08"/>
    <w:rsid w:val="00DA431C"/>
    <w:rsid w:val="00DA4337"/>
    <w:rsid w:val="00DA5888"/>
    <w:rsid w:val="00DA596B"/>
    <w:rsid w:val="00DA5BB3"/>
    <w:rsid w:val="00DA5F8D"/>
    <w:rsid w:val="00DA6490"/>
    <w:rsid w:val="00DA71E2"/>
    <w:rsid w:val="00DA75A2"/>
    <w:rsid w:val="00DB04B4"/>
    <w:rsid w:val="00DB0D0A"/>
    <w:rsid w:val="00DB0F5B"/>
    <w:rsid w:val="00DB126B"/>
    <w:rsid w:val="00DB1AC2"/>
    <w:rsid w:val="00DB1CDC"/>
    <w:rsid w:val="00DB1FC8"/>
    <w:rsid w:val="00DB25F4"/>
    <w:rsid w:val="00DB3497"/>
    <w:rsid w:val="00DB371C"/>
    <w:rsid w:val="00DB39BE"/>
    <w:rsid w:val="00DB469F"/>
    <w:rsid w:val="00DB4D13"/>
    <w:rsid w:val="00DB56B6"/>
    <w:rsid w:val="00DB67C1"/>
    <w:rsid w:val="00DB6CD6"/>
    <w:rsid w:val="00DB7310"/>
    <w:rsid w:val="00DB760A"/>
    <w:rsid w:val="00DB7A96"/>
    <w:rsid w:val="00DB7AB4"/>
    <w:rsid w:val="00DC00FD"/>
    <w:rsid w:val="00DC05E7"/>
    <w:rsid w:val="00DC0B83"/>
    <w:rsid w:val="00DC0D20"/>
    <w:rsid w:val="00DC12CE"/>
    <w:rsid w:val="00DC21ED"/>
    <w:rsid w:val="00DC2201"/>
    <w:rsid w:val="00DC2527"/>
    <w:rsid w:val="00DC2701"/>
    <w:rsid w:val="00DC2BFF"/>
    <w:rsid w:val="00DC46C9"/>
    <w:rsid w:val="00DC5A3D"/>
    <w:rsid w:val="00DC5D02"/>
    <w:rsid w:val="00DC637A"/>
    <w:rsid w:val="00DC6A44"/>
    <w:rsid w:val="00DC6F2B"/>
    <w:rsid w:val="00DC7798"/>
    <w:rsid w:val="00DC77CC"/>
    <w:rsid w:val="00DC7A6B"/>
    <w:rsid w:val="00DC7BE5"/>
    <w:rsid w:val="00DD1F3E"/>
    <w:rsid w:val="00DD26A5"/>
    <w:rsid w:val="00DD275F"/>
    <w:rsid w:val="00DD2851"/>
    <w:rsid w:val="00DD3703"/>
    <w:rsid w:val="00DD4705"/>
    <w:rsid w:val="00DD5119"/>
    <w:rsid w:val="00DD51FB"/>
    <w:rsid w:val="00DD5478"/>
    <w:rsid w:val="00DD5E1B"/>
    <w:rsid w:val="00DD759E"/>
    <w:rsid w:val="00DE0500"/>
    <w:rsid w:val="00DE062D"/>
    <w:rsid w:val="00DE0FB3"/>
    <w:rsid w:val="00DE154C"/>
    <w:rsid w:val="00DE1D6A"/>
    <w:rsid w:val="00DE266F"/>
    <w:rsid w:val="00DE2ED8"/>
    <w:rsid w:val="00DE2F54"/>
    <w:rsid w:val="00DE375A"/>
    <w:rsid w:val="00DE3923"/>
    <w:rsid w:val="00DE416A"/>
    <w:rsid w:val="00DE4C20"/>
    <w:rsid w:val="00DE648B"/>
    <w:rsid w:val="00DE6A86"/>
    <w:rsid w:val="00DE6FF5"/>
    <w:rsid w:val="00DF05C2"/>
    <w:rsid w:val="00DF0DF3"/>
    <w:rsid w:val="00DF16A2"/>
    <w:rsid w:val="00DF1FC1"/>
    <w:rsid w:val="00DF2F55"/>
    <w:rsid w:val="00DF3965"/>
    <w:rsid w:val="00DF3D16"/>
    <w:rsid w:val="00DF3D9C"/>
    <w:rsid w:val="00DF460A"/>
    <w:rsid w:val="00DF4D4F"/>
    <w:rsid w:val="00DF4FAF"/>
    <w:rsid w:val="00DF5136"/>
    <w:rsid w:val="00DF5BE5"/>
    <w:rsid w:val="00DF6CF4"/>
    <w:rsid w:val="00DF748F"/>
    <w:rsid w:val="00DF796B"/>
    <w:rsid w:val="00E0081E"/>
    <w:rsid w:val="00E0090E"/>
    <w:rsid w:val="00E025DE"/>
    <w:rsid w:val="00E034B9"/>
    <w:rsid w:val="00E03829"/>
    <w:rsid w:val="00E03ADE"/>
    <w:rsid w:val="00E04676"/>
    <w:rsid w:val="00E047F6"/>
    <w:rsid w:val="00E04941"/>
    <w:rsid w:val="00E04A0F"/>
    <w:rsid w:val="00E051D3"/>
    <w:rsid w:val="00E05E2C"/>
    <w:rsid w:val="00E0623C"/>
    <w:rsid w:val="00E063C8"/>
    <w:rsid w:val="00E06A37"/>
    <w:rsid w:val="00E07C80"/>
    <w:rsid w:val="00E11069"/>
    <w:rsid w:val="00E112E4"/>
    <w:rsid w:val="00E11B24"/>
    <w:rsid w:val="00E1480C"/>
    <w:rsid w:val="00E14CBF"/>
    <w:rsid w:val="00E1517D"/>
    <w:rsid w:val="00E15898"/>
    <w:rsid w:val="00E17F7A"/>
    <w:rsid w:val="00E201DB"/>
    <w:rsid w:val="00E2036E"/>
    <w:rsid w:val="00E206C3"/>
    <w:rsid w:val="00E208E5"/>
    <w:rsid w:val="00E20CF6"/>
    <w:rsid w:val="00E216C5"/>
    <w:rsid w:val="00E21A39"/>
    <w:rsid w:val="00E21A5C"/>
    <w:rsid w:val="00E21BD7"/>
    <w:rsid w:val="00E22F54"/>
    <w:rsid w:val="00E231A9"/>
    <w:rsid w:val="00E23889"/>
    <w:rsid w:val="00E238E9"/>
    <w:rsid w:val="00E238F7"/>
    <w:rsid w:val="00E2552D"/>
    <w:rsid w:val="00E25793"/>
    <w:rsid w:val="00E2590D"/>
    <w:rsid w:val="00E27A0E"/>
    <w:rsid w:val="00E300B8"/>
    <w:rsid w:val="00E30742"/>
    <w:rsid w:val="00E31647"/>
    <w:rsid w:val="00E316F4"/>
    <w:rsid w:val="00E31ABB"/>
    <w:rsid w:val="00E31FB8"/>
    <w:rsid w:val="00E3206D"/>
    <w:rsid w:val="00E3207A"/>
    <w:rsid w:val="00E32C8F"/>
    <w:rsid w:val="00E32CBA"/>
    <w:rsid w:val="00E33151"/>
    <w:rsid w:val="00E33F22"/>
    <w:rsid w:val="00E3402F"/>
    <w:rsid w:val="00E341BD"/>
    <w:rsid w:val="00E343CC"/>
    <w:rsid w:val="00E34675"/>
    <w:rsid w:val="00E35091"/>
    <w:rsid w:val="00E35D48"/>
    <w:rsid w:val="00E3649F"/>
    <w:rsid w:val="00E37083"/>
    <w:rsid w:val="00E37EAB"/>
    <w:rsid w:val="00E409AE"/>
    <w:rsid w:val="00E40C3A"/>
    <w:rsid w:val="00E4168E"/>
    <w:rsid w:val="00E4172F"/>
    <w:rsid w:val="00E42B57"/>
    <w:rsid w:val="00E432E3"/>
    <w:rsid w:val="00E434B2"/>
    <w:rsid w:val="00E44EFE"/>
    <w:rsid w:val="00E45D74"/>
    <w:rsid w:val="00E46890"/>
    <w:rsid w:val="00E468E6"/>
    <w:rsid w:val="00E47660"/>
    <w:rsid w:val="00E47CD3"/>
    <w:rsid w:val="00E5080F"/>
    <w:rsid w:val="00E512B3"/>
    <w:rsid w:val="00E51478"/>
    <w:rsid w:val="00E516B9"/>
    <w:rsid w:val="00E52106"/>
    <w:rsid w:val="00E52860"/>
    <w:rsid w:val="00E53172"/>
    <w:rsid w:val="00E5373B"/>
    <w:rsid w:val="00E53B86"/>
    <w:rsid w:val="00E53FC6"/>
    <w:rsid w:val="00E54223"/>
    <w:rsid w:val="00E5426B"/>
    <w:rsid w:val="00E547F6"/>
    <w:rsid w:val="00E54916"/>
    <w:rsid w:val="00E55628"/>
    <w:rsid w:val="00E55C20"/>
    <w:rsid w:val="00E56301"/>
    <w:rsid w:val="00E56C23"/>
    <w:rsid w:val="00E56C45"/>
    <w:rsid w:val="00E576B1"/>
    <w:rsid w:val="00E6016E"/>
    <w:rsid w:val="00E61391"/>
    <w:rsid w:val="00E61FBD"/>
    <w:rsid w:val="00E622F0"/>
    <w:rsid w:val="00E62411"/>
    <w:rsid w:val="00E6280B"/>
    <w:rsid w:val="00E63256"/>
    <w:rsid w:val="00E63409"/>
    <w:rsid w:val="00E63BC1"/>
    <w:rsid w:val="00E64549"/>
    <w:rsid w:val="00E64AFD"/>
    <w:rsid w:val="00E64E0E"/>
    <w:rsid w:val="00E6523C"/>
    <w:rsid w:val="00E6530B"/>
    <w:rsid w:val="00E655AE"/>
    <w:rsid w:val="00E65B93"/>
    <w:rsid w:val="00E66666"/>
    <w:rsid w:val="00E66CFB"/>
    <w:rsid w:val="00E676F2"/>
    <w:rsid w:val="00E67884"/>
    <w:rsid w:val="00E7082D"/>
    <w:rsid w:val="00E70DCE"/>
    <w:rsid w:val="00E7143C"/>
    <w:rsid w:val="00E7230D"/>
    <w:rsid w:val="00E7230E"/>
    <w:rsid w:val="00E728F1"/>
    <w:rsid w:val="00E72C75"/>
    <w:rsid w:val="00E72EDA"/>
    <w:rsid w:val="00E73497"/>
    <w:rsid w:val="00E73E13"/>
    <w:rsid w:val="00E74129"/>
    <w:rsid w:val="00E74A6B"/>
    <w:rsid w:val="00E754F2"/>
    <w:rsid w:val="00E776A1"/>
    <w:rsid w:val="00E801ED"/>
    <w:rsid w:val="00E80ACD"/>
    <w:rsid w:val="00E80AF2"/>
    <w:rsid w:val="00E811E1"/>
    <w:rsid w:val="00E81BB6"/>
    <w:rsid w:val="00E820F7"/>
    <w:rsid w:val="00E821CF"/>
    <w:rsid w:val="00E823C7"/>
    <w:rsid w:val="00E82EF7"/>
    <w:rsid w:val="00E831D5"/>
    <w:rsid w:val="00E83671"/>
    <w:rsid w:val="00E8395F"/>
    <w:rsid w:val="00E83FFC"/>
    <w:rsid w:val="00E84000"/>
    <w:rsid w:val="00E84088"/>
    <w:rsid w:val="00E85A7E"/>
    <w:rsid w:val="00E86585"/>
    <w:rsid w:val="00E8706C"/>
    <w:rsid w:val="00E871C2"/>
    <w:rsid w:val="00E8791E"/>
    <w:rsid w:val="00E87976"/>
    <w:rsid w:val="00E87BE4"/>
    <w:rsid w:val="00E87E29"/>
    <w:rsid w:val="00E90565"/>
    <w:rsid w:val="00E90616"/>
    <w:rsid w:val="00E90EE2"/>
    <w:rsid w:val="00E915B9"/>
    <w:rsid w:val="00E918F3"/>
    <w:rsid w:val="00E92939"/>
    <w:rsid w:val="00E933A5"/>
    <w:rsid w:val="00E93C5C"/>
    <w:rsid w:val="00E93E5C"/>
    <w:rsid w:val="00E93E74"/>
    <w:rsid w:val="00E94E53"/>
    <w:rsid w:val="00E951DF"/>
    <w:rsid w:val="00E962E9"/>
    <w:rsid w:val="00E96B8C"/>
    <w:rsid w:val="00E97131"/>
    <w:rsid w:val="00EA100E"/>
    <w:rsid w:val="00EA12CB"/>
    <w:rsid w:val="00EA24A3"/>
    <w:rsid w:val="00EA3030"/>
    <w:rsid w:val="00EA4653"/>
    <w:rsid w:val="00EA4AB0"/>
    <w:rsid w:val="00EA68FF"/>
    <w:rsid w:val="00EA6968"/>
    <w:rsid w:val="00EA6B14"/>
    <w:rsid w:val="00EA6F00"/>
    <w:rsid w:val="00EA7C1A"/>
    <w:rsid w:val="00EA7F95"/>
    <w:rsid w:val="00EB0584"/>
    <w:rsid w:val="00EB0E19"/>
    <w:rsid w:val="00EB1060"/>
    <w:rsid w:val="00EB1429"/>
    <w:rsid w:val="00EB1FEF"/>
    <w:rsid w:val="00EB2478"/>
    <w:rsid w:val="00EB362E"/>
    <w:rsid w:val="00EB4EE3"/>
    <w:rsid w:val="00EB53EB"/>
    <w:rsid w:val="00EB5E5C"/>
    <w:rsid w:val="00EB5F3E"/>
    <w:rsid w:val="00EB6EB2"/>
    <w:rsid w:val="00EB6F04"/>
    <w:rsid w:val="00EB7B6C"/>
    <w:rsid w:val="00EC0423"/>
    <w:rsid w:val="00EC112B"/>
    <w:rsid w:val="00EC12B5"/>
    <w:rsid w:val="00EC1380"/>
    <w:rsid w:val="00EC16A6"/>
    <w:rsid w:val="00EC18CC"/>
    <w:rsid w:val="00EC1B9C"/>
    <w:rsid w:val="00EC27C3"/>
    <w:rsid w:val="00EC2B1A"/>
    <w:rsid w:val="00EC3924"/>
    <w:rsid w:val="00EC3BD9"/>
    <w:rsid w:val="00EC4481"/>
    <w:rsid w:val="00EC4570"/>
    <w:rsid w:val="00EC4961"/>
    <w:rsid w:val="00EC4E82"/>
    <w:rsid w:val="00EC502A"/>
    <w:rsid w:val="00EC53AD"/>
    <w:rsid w:val="00EC5E07"/>
    <w:rsid w:val="00EC69D2"/>
    <w:rsid w:val="00EC69FE"/>
    <w:rsid w:val="00EC7231"/>
    <w:rsid w:val="00EC74FB"/>
    <w:rsid w:val="00EC76CE"/>
    <w:rsid w:val="00EC7E0D"/>
    <w:rsid w:val="00ED0174"/>
    <w:rsid w:val="00ED03E1"/>
    <w:rsid w:val="00ED0B45"/>
    <w:rsid w:val="00ED27FE"/>
    <w:rsid w:val="00ED34F7"/>
    <w:rsid w:val="00ED3705"/>
    <w:rsid w:val="00ED3E30"/>
    <w:rsid w:val="00ED480B"/>
    <w:rsid w:val="00ED5238"/>
    <w:rsid w:val="00ED561A"/>
    <w:rsid w:val="00ED6AE9"/>
    <w:rsid w:val="00ED7270"/>
    <w:rsid w:val="00ED78BC"/>
    <w:rsid w:val="00ED7F36"/>
    <w:rsid w:val="00EE0317"/>
    <w:rsid w:val="00EE3BB1"/>
    <w:rsid w:val="00EE3BFA"/>
    <w:rsid w:val="00EE4814"/>
    <w:rsid w:val="00EE4AE0"/>
    <w:rsid w:val="00EE4D08"/>
    <w:rsid w:val="00EE52F5"/>
    <w:rsid w:val="00EE54B7"/>
    <w:rsid w:val="00EE5880"/>
    <w:rsid w:val="00EE5C26"/>
    <w:rsid w:val="00EE604F"/>
    <w:rsid w:val="00EE614C"/>
    <w:rsid w:val="00EE64E6"/>
    <w:rsid w:val="00EE650F"/>
    <w:rsid w:val="00EE762B"/>
    <w:rsid w:val="00EE778F"/>
    <w:rsid w:val="00EE7D49"/>
    <w:rsid w:val="00EF0AD8"/>
    <w:rsid w:val="00EF1841"/>
    <w:rsid w:val="00EF2323"/>
    <w:rsid w:val="00EF297A"/>
    <w:rsid w:val="00EF2CF4"/>
    <w:rsid w:val="00EF37DC"/>
    <w:rsid w:val="00EF3B59"/>
    <w:rsid w:val="00EF4204"/>
    <w:rsid w:val="00EF43EE"/>
    <w:rsid w:val="00EF4F4E"/>
    <w:rsid w:val="00EF521E"/>
    <w:rsid w:val="00EF5267"/>
    <w:rsid w:val="00EF5385"/>
    <w:rsid w:val="00EF5664"/>
    <w:rsid w:val="00EF64DF"/>
    <w:rsid w:val="00EF746A"/>
    <w:rsid w:val="00EF74B4"/>
    <w:rsid w:val="00EF7C8D"/>
    <w:rsid w:val="00EF7F6E"/>
    <w:rsid w:val="00F00436"/>
    <w:rsid w:val="00F0128C"/>
    <w:rsid w:val="00F0140A"/>
    <w:rsid w:val="00F01A53"/>
    <w:rsid w:val="00F01E9F"/>
    <w:rsid w:val="00F02CF2"/>
    <w:rsid w:val="00F03DA6"/>
    <w:rsid w:val="00F04B86"/>
    <w:rsid w:val="00F101BC"/>
    <w:rsid w:val="00F1070F"/>
    <w:rsid w:val="00F12D93"/>
    <w:rsid w:val="00F12F90"/>
    <w:rsid w:val="00F12FA8"/>
    <w:rsid w:val="00F134C8"/>
    <w:rsid w:val="00F13855"/>
    <w:rsid w:val="00F13A03"/>
    <w:rsid w:val="00F13A79"/>
    <w:rsid w:val="00F13AFE"/>
    <w:rsid w:val="00F15D6E"/>
    <w:rsid w:val="00F15F1F"/>
    <w:rsid w:val="00F1693A"/>
    <w:rsid w:val="00F17E59"/>
    <w:rsid w:val="00F211B6"/>
    <w:rsid w:val="00F22B39"/>
    <w:rsid w:val="00F22BC1"/>
    <w:rsid w:val="00F24152"/>
    <w:rsid w:val="00F24CF3"/>
    <w:rsid w:val="00F2548F"/>
    <w:rsid w:val="00F256D3"/>
    <w:rsid w:val="00F25E01"/>
    <w:rsid w:val="00F264DC"/>
    <w:rsid w:val="00F265A7"/>
    <w:rsid w:val="00F272EA"/>
    <w:rsid w:val="00F307F2"/>
    <w:rsid w:val="00F31FBC"/>
    <w:rsid w:val="00F32465"/>
    <w:rsid w:val="00F32DF9"/>
    <w:rsid w:val="00F32EA4"/>
    <w:rsid w:val="00F33138"/>
    <w:rsid w:val="00F33946"/>
    <w:rsid w:val="00F339CE"/>
    <w:rsid w:val="00F33A28"/>
    <w:rsid w:val="00F353A4"/>
    <w:rsid w:val="00F357CB"/>
    <w:rsid w:val="00F35947"/>
    <w:rsid w:val="00F35BE5"/>
    <w:rsid w:val="00F35E31"/>
    <w:rsid w:val="00F36A44"/>
    <w:rsid w:val="00F36A9E"/>
    <w:rsid w:val="00F36DB7"/>
    <w:rsid w:val="00F36E16"/>
    <w:rsid w:val="00F3738F"/>
    <w:rsid w:val="00F37A50"/>
    <w:rsid w:val="00F4001D"/>
    <w:rsid w:val="00F406EF"/>
    <w:rsid w:val="00F40F68"/>
    <w:rsid w:val="00F41055"/>
    <w:rsid w:val="00F413F6"/>
    <w:rsid w:val="00F417B8"/>
    <w:rsid w:val="00F41CA7"/>
    <w:rsid w:val="00F42247"/>
    <w:rsid w:val="00F429CE"/>
    <w:rsid w:val="00F43A03"/>
    <w:rsid w:val="00F43BE5"/>
    <w:rsid w:val="00F43FD9"/>
    <w:rsid w:val="00F4427A"/>
    <w:rsid w:val="00F451C6"/>
    <w:rsid w:val="00F4574D"/>
    <w:rsid w:val="00F46620"/>
    <w:rsid w:val="00F46E4B"/>
    <w:rsid w:val="00F46FFF"/>
    <w:rsid w:val="00F47511"/>
    <w:rsid w:val="00F47CC0"/>
    <w:rsid w:val="00F47CE2"/>
    <w:rsid w:val="00F47EB9"/>
    <w:rsid w:val="00F50ACD"/>
    <w:rsid w:val="00F516A2"/>
    <w:rsid w:val="00F51B84"/>
    <w:rsid w:val="00F52B7A"/>
    <w:rsid w:val="00F52D5B"/>
    <w:rsid w:val="00F533DF"/>
    <w:rsid w:val="00F53581"/>
    <w:rsid w:val="00F5559C"/>
    <w:rsid w:val="00F55CCF"/>
    <w:rsid w:val="00F55E7D"/>
    <w:rsid w:val="00F5680A"/>
    <w:rsid w:val="00F5684F"/>
    <w:rsid w:val="00F57100"/>
    <w:rsid w:val="00F5729B"/>
    <w:rsid w:val="00F5789A"/>
    <w:rsid w:val="00F57AF1"/>
    <w:rsid w:val="00F60D00"/>
    <w:rsid w:val="00F61121"/>
    <w:rsid w:val="00F616B3"/>
    <w:rsid w:val="00F61BB0"/>
    <w:rsid w:val="00F62CCA"/>
    <w:rsid w:val="00F6333E"/>
    <w:rsid w:val="00F6382E"/>
    <w:rsid w:val="00F651DE"/>
    <w:rsid w:val="00F6538D"/>
    <w:rsid w:val="00F65479"/>
    <w:rsid w:val="00F66005"/>
    <w:rsid w:val="00F66A4B"/>
    <w:rsid w:val="00F7042A"/>
    <w:rsid w:val="00F70A69"/>
    <w:rsid w:val="00F710D3"/>
    <w:rsid w:val="00F7210F"/>
    <w:rsid w:val="00F729DA"/>
    <w:rsid w:val="00F72ADD"/>
    <w:rsid w:val="00F7321D"/>
    <w:rsid w:val="00F741FA"/>
    <w:rsid w:val="00F743AB"/>
    <w:rsid w:val="00F74B9F"/>
    <w:rsid w:val="00F753FA"/>
    <w:rsid w:val="00F76173"/>
    <w:rsid w:val="00F76808"/>
    <w:rsid w:val="00F76BCF"/>
    <w:rsid w:val="00F76CEB"/>
    <w:rsid w:val="00F774FE"/>
    <w:rsid w:val="00F77699"/>
    <w:rsid w:val="00F7769F"/>
    <w:rsid w:val="00F778E4"/>
    <w:rsid w:val="00F807F1"/>
    <w:rsid w:val="00F80D77"/>
    <w:rsid w:val="00F80F0E"/>
    <w:rsid w:val="00F82E69"/>
    <w:rsid w:val="00F83C37"/>
    <w:rsid w:val="00F8468E"/>
    <w:rsid w:val="00F8537D"/>
    <w:rsid w:val="00F85CE0"/>
    <w:rsid w:val="00F85DA4"/>
    <w:rsid w:val="00F85FB3"/>
    <w:rsid w:val="00F862F6"/>
    <w:rsid w:val="00F866CB"/>
    <w:rsid w:val="00F87C26"/>
    <w:rsid w:val="00F90204"/>
    <w:rsid w:val="00F9035F"/>
    <w:rsid w:val="00F917AB"/>
    <w:rsid w:val="00F91BA4"/>
    <w:rsid w:val="00F91FEE"/>
    <w:rsid w:val="00F921A6"/>
    <w:rsid w:val="00F9319B"/>
    <w:rsid w:val="00F94348"/>
    <w:rsid w:val="00F944DC"/>
    <w:rsid w:val="00F94743"/>
    <w:rsid w:val="00F9474A"/>
    <w:rsid w:val="00F94D9D"/>
    <w:rsid w:val="00F95D1F"/>
    <w:rsid w:val="00F96958"/>
    <w:rsid w:val="00F97686"/>
    <w:rsid w:val="00F97F70"/>
    <w:rsid w:val="00FA0096"/>
    <w:rsid w:val="00FA12EF"/>
    <w:rsid w:val="00FA12FE"/>
    <w:rsid w:val="00FA162F"/>
    <w:rsid w:val="00FA1749"/>
    <w:rsid w:val="00FA29A7"/>
    <w:rsid w:val="00FA2F6F"/>
    <w:rsid w:val="00FA3A8E"/>
    <w:rsid w:val="00FA3B54"/>
    <w:rsid w:val="00FA4CBC"/>
    <w:rsid w:val="00FA56D6"/>
    <w:rsid w:val="00FA585D"/>
    <w:rsid w:val="00FA5E52"/>
    <w:rsid w:val="00FA69BE"/>
    <w:rsid w:val="00FA6B12"/>
    <w:rsid w:val="00FA6CBC"/>
    <w:rsid w:val="00FA704D"/>
    <w:rsid w:val="00FA7719"/>
    <w:rsid w:val="00FA7CD1"/>
    <w:rsid w:val="00FA7E07"/>
    <w:rsid w:val="00FB0162"/>
    <w:rsid w:val="00FB09FD"/>
    <w:rsid w:val="00FB113D"/>
    <w:rsid w:val="00FB205D"/>
    <w:rsid w:val="00FB2AA9"/>
    <w:rsid w:val="00FB32FB"/>
    <w:rsid w:val="00FB3725"/>
    <w:rsid w:val="00FB3D92"/>
    <w:rsid w:val="00FB4314"/>
    <w:rsid w:val="00FB4901"/>
    <w:rsid w:val="00FB5440"/>
    <w:rsid w:val="00FB5BF3"/>
    <w:rsid w:val="00FB622B"/>
    <w:rsid w:val="00FB6769"/>
    <w:rsid w:val="00FC066D"/>
    <w:rsid w:val="00FC155A"/>
    <w:rsid w:val="00FC1920"/>
    <w:rsid w:val="00FC1A35"/>
    <w:rsid w:val="00FC2CE5"/>
    <w:rsid w:val="00FC33A5"/>
    <w:rsid w:val="00FC3EEB"/>
    <w:rsid w:val="00FC4C04"/>
    <w:rsid w:val="00FC5161"/>
    <w:rsid w:val="00FC568A"/>
    <w:rsid w:val="00FC5D39"/>
    <w:rsid w:val="00FC610C"/>
    <w:rsid w:val="00FC61F7"/>
    <w:rsid w:val="00FC6392"/>
    <w:rsid w:val="00FC684C"/>
    <w:rsid w:val="00FC6D21"/>
    <w:rsid w:val="00FC7BAA"/>
    <w:rsid w:val="00FD0212"/>
    <w:rsid w:val="00FD024F"/>
    <w:rsid w:val="00FD054A"/>
    <w:rsid w:val="00FD0CF0"/>
    <w:rsid w:val="00FD1F57"/>
    <w:rsid w:val="00FD2367"/>
    <w:rsid w:val="00FD328B"/>
    <w:rsid w:val="00FD351B"/>
    <w:rsid w:val="00FD425E"/>
    <w:rsid w:val="00FD4515"/>
    <w:rsid w:val="00FD4778"/>
    <w:rsid w:val="00FD4D03"/>
    <w:rsid w:val="00FD4DB8"/>
    <w:rsid w:val="00FD5453"/>
    <w:rsid w:val="00FD5AB8"/>
    <w:rsid w:val="00FD5B7B"/>
    <w:rsid w:val="00FD6B63"/>
    <w:rsid w:val="00FD7032"/>
    <w:rsid w:val="00FD7BA8"/>
    <w:rsid w:val="00FD7F5F"/>
    <w:rsid w:val="00FE00BD"/>
    <w:rsid w:val="00FE029D"/>
    <w:rsid w:val="00FE0EB4"/>
    <w:rsid w:val="00FE105F"/>
    <w:rsid w:val="00FE108E"/>
    <w:rsid w:val="00FE1829"/>
    <w:rsid w:val="00FE1FA2"/>
    <w:rsid w:val="00FE293B"/>
    <w:rsid w:val="00FE3F36"/>
    <w:rsid w:val="00FE403B"/>
    <w:rsid w:val="00FE4CC5"/>
    <w:rsid w:val="00FE547C"/>
    <w:rsid w:val="00FE5A92"/>
    <w:rsid w:val="00FE6856"/>
    <w:rsid w:val="00FE7434"/>
    <w:rsid w:val="00FF03B1"/>
    <w:rsid w:val="00FF0D25"/>
    <w:rsid w:val="00FF2804"/>
    <w:rsid w:val="00FF2A06"/>
    <w:rsid w:val="00FF2C0A"/>
    <w:rsid w:val="00FF2F99"/>
    <w:rsid w:val="00FF3BFC"/>
    <w:rsid w:val="00FF3D60"/>
    <w:rsid w:val="00FF3F11"/>
    <w:rsid w:val="00FF439A"/>
    <w:rsid w:val="00FF56E8"/>
    <w:rsid w:val="00FF5D30"/>
    <w:rsid w:val="00FF5E27"/>
    <w:rsid w:val="00FF612A"/>
    <w:rsid w:val="00FF7020"/>
    <w:rsid w:val="00FF7274"/>
    <w:rsid w:val="00FF7596"/>
    <w:rsid w:val="00FF7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C7BBC6"/>
  <w15:docId w15:val="{762FF90D-2E2D-4EB4-91A1-AF65ECB18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C6D51"/>
    <w:rPr>
      <w:sz w:val="24"/>
      <w:szCs w:val="24"/>
    </w:rPr>
  </w:style>
  <w:style w:type="paragraph" w:styleId="Heading1">
    <w:name w:val="heading 1"/>
    <w:basedOn w:val="Normal"/>
    <w:next w:val="Normal"/>
    <w:qFormat/>
    <w:rsid w:val="008C6E6A"/>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4668"/>
    <w:pPr>
      <w:tabs>
        <w:tab w:val="center" w:pos="4320"/>
        <w:tab w:val="right" w:pos="8640"/>
      </w:tabs>
    </w:pPr>
  </w:style>
  <w:style w:type="character" w:styleId="PageNumber">
    <w:name w:val="page number"/>
    <w:rsid w:val="00C04668"/>
    <w:rPr>
      <w:rFonts w:cs="Times New Roman"/>
    </w:rPr>
  </w:style>
  <w:style w:type="paragraph" w:customStyle="1" w:styleId="HangingIndent3">
    <w:name w:val="Hanging Indent 3"/>
    <w:basedOn w:val="Normal"/>
    <w:rsid w:val="00C04668"/>
    <w:pPr>
      <w:spacing w:after="240"/>
      <w:ind w:left="1728" w:hanging="576"/>
    </w:pPr>
    <w:rPr>
      <w:rFonts w:ascii="Arial" w:hAnsi="Arial"/>
      <w:szCs w:val="20"/>
    </w:rPr>
  </w:style>
  <w:style w:type="table" w:styleId="TableGrid">
    <w:name w:val="Table Grid"/>
    <w:basedOn w:val="TableNormal"/>
    <w:rsid w:val="00C04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04668"/>
    <w:rPr>
      <w:rFonts w:cs="Times New Roman"/>
      <w:color w:val="0000FF"/>
      <w:u w:val="single"/>
    </w:rPr>
  </w:style>
  <w:style w:type="paragraph" w:styleId="Header">
    <w:name w:val="header"/>
    <w:basedOn w:val="Normal"/>
    <w:link w:val="HeaderChar"/>
    <w:rsid w:val="00C04668"/>
    <w:pPr>
      <w:tabs>
        <w:tab w:val="center" w:pos="4320"/>
        <w:tab w:val="right" w:pos="8640"/>
      </w:tabs>
    </w:pPr>
  </w:style>
  <w:style w:type="paragraph" w:styleId="BodyTextIndent">
    <w:name w:val="Body Text Indent"/>
    <w:basedOn w:val="Normal"/>
    <w:rsid w:val="00C04668"/>
    <w:pPr>
      <w:ind w:firstLine="720"/>
    </w:pPr>
    <w:rPr>
      <w:sz w:val="20"/>
      <w:szCs w:val="20"/>
    </w:rPr>
  </w:style>
  <w:style w:type="paragraph" w:styleId="NormalWeb">
    <w:name w:val="Normal (Web)"/>
    <w:basedOn w:val="Normal"/>
    <w:rsid w:val="00912DCF"/>
    <w:pPr>
      <w:spacing w:before="100" w:beforeAutospacing="1" w:after="100" w:afterAutospacing="1"/>
    </w:pPr>
  </w:style>
  <w:style w:type="paragraph" w:styleId="BalloonText">
    <w:name w:val="Balloon Text"/>
    <w:basedOn w:val="Normal"/>
    <w:semiHidden/>
    <w:rsid w:val="000B44A1"/>
    <w:rPr>
      <w:rFonts w:ascii="Tahoma" w:hAnsi="Tahoma" w:cs="Tahoma"/>
      <w:sz w:val="16"/>
      <w:szCs w:val="16"/>
    </w:rPr>
  </w:style>
  <w:style w:type="character" w:styleId="CommentReference">
    <w:name w:val="annotation reference"/>
    <w:semiHidden/>
    <w:rsid w:val="00497062"/>
    <w:rPr>
      <w:rFonts w:cs="Times New Roman"/>
      <w:sz w:val="16"/>
      <w:szCs w:val="16"/>
    </w:rPr>
  </w:style>
  <w:style w:type="paragraph" w:styleId="CommentText">
    <w:name w:val="annotation text"/>
    <w:basedOn w:val="Normal"/>
    <w:semiHidden/>
    <w:rsid w:val="00497062"/>
    <w:rPr>
      <w:sz w:val="20"/>
      <w:szCs w:val="20"/>
    </w:rPr>
  </w:style>
  <w:style w:type="paragraph" w:styleId="CommentSubject">
    <w:name w:val="annotation subject"/>
    <w:basedOn w:val="CommentText"/>
    <w:next w:val="CommentText"/>
    <w:semiHidden/>
    <w:rsid w:val="00497062"/>
    <w:rPr>
      <w:b/>
      <w:bCs/>
    </w:rPr>
  </w:style>
  <w:style w:type="paragraph" w:customStyle="1" w:styleId="bcepqla">
    <w:name w:val="bcepq_la"/>
    <w:basedOn w:val="Normal"/>
    <w:rsid w:val="002B25B4"/>
    <w:pPr>
      <w:tabs>
        <w:tab w:val="left" w:pos="640"/>
      </w:tabs>
      <w:autoSpaceDE w:val="0"/>
      <w:autoSpaceDN w:val="0"/>
      <w:adjustRightInd w:val="0"/>
      <w:spacing w:before="40" w:line="240" w:lineRule="atLeast"/>
      <w:ind w:left="640" w:hanging="280"/>
      <w:textAlignment w:val="center"/>
    </w:pPr>
    <w:rPr>
      <w:rFonts w:ascii="TimesNewRomanMTStd" w:hAnsi="TimesNewRomanMTStd" w:cs="TimesNewRomanMTStd"/>
      <w:color w:val="000000"/>
      <w:sz w:val="21"/>
      <w:szCs w:val="21"/>
    </w:rPr>
  </w:style>
  <w:style w:type="paragraph" w:styleId="ListParagraph">
    <w:name w:val="List Paragraph"/>
    <w:basedOn w:val="Normal"/>
    <w:qFormat/>
    <w:rsid w:val="003E3298"/>
    <w:pPr>
      <w:ind w:left="720"/>
    </w:pPr>
  </w:style>
  <w:style w:type="paragraph" w:styleId="Revision">
    <w:name w:val="Revision"/>
    <w:hidden/>
    <w:uiPriority w:val="99"/>
    <w:semiHidden/>
    <w:rsid w:val="00224BA3"/>
    <w:rPr>
      <w:sz w:val="24"/>
      <w:szCs w:val="24"/>
    </w:rPr>
  </w:style>
  <w:style w:type="paragraph" w:styleId="FootnoteText">
    <w:name w:val="footnote text"/>
    <w:basedOn w:val="Normal"/>
    <w:link w:val="FootnoteTextChar"/>
    <w:rsid w:val="0093712C"/>
    <w:rPr>
      <w:sz w:val="20"/>
      <w:szCs w:val="20"/>
    </w:rPr>
  </w:style>
  <w:style w:type="character" w:customStyle="1" w:styleId="FootnoteTextChar">
    <w:name w:val="Footnote Text Char"/>
    <w:basedOn w:val="DefaultParagraphFont"/>
    <w:link w:val="FootnoteText"/>
    <w:rsid w:val="0093712C"/>
  </w:style>
  <w:style w:type="character" w:styleId="FootnoteReference">
    <w:name w:val="footnote reference"/>
    <w:rsid w:val="0093712C"/>
    <w:rPr>
      <w:vertAlign w:val="superscript"/>
    </w:rPr>
  </w:style>
  <w:style w:type="paragraph" w:customStyle="1" w:styleId="MC">
    <w:name w:val="MC"/>
    <w:basedOn w:val="Normal"/>
    <w:rsid w:val="00FC155A"/>
    <w:pPr>
      <w:widowControl w:val="0"/>
      <w:ind w:left="1440" w:hanging="720"/>
    </w:pPr>
    <w:rPr>
      <w:snapToGrid w:val="0"/>
      <w:sz w:val="20"/>
      <w:szCs w:val="20"/>
    </w:rPr>
  </w:style>
  <w:style w:type="character" w:customStyle="1" w:styleId="HeaderChar">
    <w:name w:val="Header Char"/>
    <w:basedOn w:val="DefaultParagraphFont"/>
    <w:link w:val="Header"/>
    <w:rsid w:val="000F521B"/>
    <w:rPr>
      <w:sz w:val="24"/>
      <w:szCs w:val="24"/>
    </w:rPr>
  </w:style>
  <w:style w:type="character" w:styleId="FollowedHyperlink">
    <w:name w:val="FollowedHyperlink"/>
    <w:basedOn w:val="DefaultParagraphFont"/>
    <w:semiHidden/>
    <w:unhideWhenUsed/>
    <w:rsid w:val="00E73E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366333">
      <w:bodyDiv w:val="1"/>
      <w:marLeft w:val="0"/>
      <w:marRight w:val="0"/>
      <w:marTop w:val="0"/>
      <w:marBottom w:val="0"/>
      <w:divBdr>
        <w:top w:val="none" w:sz="0" w:space="0" w:color="auto"/>
        <w:left w:val="none" w:sz="0" w:space="0" w:color="auto"/>
        <w:bottom w:val="none" w:sz="0" w:space="0" w:color="auto"/>
        <w:right w:val="none" w:sz="0" w:space="0" w:color="auto"/>
      </w:divBdr>
    </w:div>
    <w:div w:id="601959069">
      <w:bodyDiv w:val="1"/>
      <w:marLeft w:val="0"/>
      <w:marRight w:val="0"/>
      <w:marTop w:val="0"/>
      <w:marBottom w:val="0"/>
      <w:divBdr>
        <w:top w:val="none" w:sz="0" w:space="0" w:color="auto"/>
        <w:left w:val="none" w:sz="0" w:space="0" w:color="auto"/>
        <w:bottom w:val="none" w:sz="0" w:space="0" w:color="auto"/>
        <w:right w:val="none" w:sz="0" w:space="0" w:color="auto"/>
      </w:divBdr>
    </w:div>
    <w:div w:id="980578833">
      <w:bodyDiv w:val="1"/>
      <w:marLeft w:val="0"/>
      <w:marRight w:val="0"/>
      <w:marTop w:val="0"/>
      <w:marBottom w:val="0"/>
      <w:divBdr>
        <w:top w:val="none" w:sz="0" w:space="0" w:color="auto"/>
        <w:left w:val="none" w:sz="0" w:space="0" w:color="auto"/>
        <w:bottom w:val="none" w:sz="0" w:space="0" w:color="auto"/>
        <w:right w:val="none" w:sz="0" w:space="0" w:color="auto"/>
      </w:divBdr>
    </w:div>
    <w:div w:id="1452820739">
      <w:bodyDiv w:val="1"/>
      <w:marLeft w:val="0"/>
      <w:marRight w:val="0"/>
      <w:marTop w:val="0"/>
      <w:marBottom w:val="0"/>
      <w:divBdr>
        <w:top w:val="none" w:sz="0" w:space="0" w:color="auto"/>
        <w:left w:val="none" w:sz="0" w:space="0" w:color="auto"/>
        <w:bottom w:val="none" w:sz="0" w:space="0" w:color="auto"/>
        <w:right w:val="none" w:sz="0" w:space="0" w:color="auto"/>
      </w:divBdr>
    </w:div>
    <w:div w:id="1468862819">
      <w:bodyDiv w:val="1"/>
      <w:marLeft w:val="0"/>
      <w:marRight w:val="0"/>
      <w:marTop w:val="0"/>
      <w:marBottom w:val="0"/>
      <w:divBdr>
        <w:top w:val="none" w:sz="0" w:space="0" w:color="auto"/>
        <w:left w:val="none" w:sz="0" w:space="0" w:color="auto"/>
        <w:bottom w:val="none" w:sz="0" w:space="0" w:color="auto"/>
        <w:right w:val="none" w:sz="0" w:space="0" w:color="auto"/>
      </w:divBdr>
    </w:div>
    <w:div w:id="1608540182">
      <w:bodyDiv w:val="1"/>
      <w:marLeft w:val="0"/>
      <w:marRight w:val="0"/>
      <w:marTop w:val="0"/>
      <w:marBottom w:val="0"/>
      <w:divBdr>
        <w:top w:val="none" w:sz="0" w:space="0" w:color="auto"/>
        <w:left w:val="none" w:sz="0" w:space="0" w:color="auto"/>
        <w:bottom w:val="none" w:sz="0" w:space="0" w:color="auto"/>
        <w:right w:val="none" w:sz="0" w:space="0" w:color="auto"/>
      </w:divBdr>
    </w:div>
    <w:div w:id="1658807143">
      <w:bodyDiv w:val="1"/>
      <w:marLeft w:val="0"/>
      <w:marRight w:val="0"/>
      <w:marTop w:val="0"/>
      <w:marBottom w:val="0"/>
      <w:divBdr>
        <w:top w:val="none" w:sz="0" w:space="0" w:color="auto"/>
        <w:left w:val="none" w:sz="0" w:space="0" w:color="auto"/>
        <w:bottom w:val="none" w:sz="0" w:space="0" w:color="auto"/>
        <w:right w:val="none" w:sz="0" w:space="0" w:color="auto"/>
      </w:divBdr>
    </w:div>
    <w:div w:id="201741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RS.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FF089-9258-4128-BE2A-2BEE94284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10647</Words>
  <Characters>60689</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Chapter 7</vt:lpstr>
    </vt:vector>
  </TitlesOfParts>
  <Company>BYU - Marriott School</Company>
  <LinksUpToDate>false</LinksUpToDate>
  <CharactersWithSpaces>71194</CharactersWithSpaces>
  <SharedDoc>false</SharedDoc>
  <HLinks>
    <vt:vector size="12" baseType="variant">
      <vt:variant>
        <vt:i4>2097251</vt:i4>
      </vt:variant>
      <vt:variant>
        <vt:i4>39</vt:i4>
      </vt:variant>
      <vt:variant>
        <vt:i4>0</vt:i4>
      </vt:variant>
      <vt:variant>
        <vt:i4>5</vt:i4>
      </vt:variant>
      <vt:variant>
        <vt:lpwstr>http://www.irs.gov/</vt:lpwstr>
      </vt:variant>
      <vt:variant>
        <vt:lpwstr/>
      </vt:variant>
      <vt:variant>
        <vt:i4>2097251</vt:i4>
      </vt:variant>
      <vt:variant>
        <vt:i4>36</vt:i4>
      </vt:variant>
      <vt:variant>
        <vt:i4>0</vt:i4>
      </vt:variant>
      <vt:variant>
        <vt:i4>5</vt:i4>
      </vt:variant>
      <vt:variant>
        <vt:lpwstr>http://www.irs.gov/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7</dc:title>
  <dc:creator>cweaver</dc:creator>
  <cp:lastModifiedBy>Sacco, Sarah</cp:lastModifiedBy>
  <cp:revision>2</cp:revision>
  <cp:lastPrinted>2015-01-15T15:36:00Z</cp:lastPrinted>
  <dcterms:created xsi:type="dcterms:W3CDTF">2018-07-02T20:08:00Z</dcterms:created>
  <dcterms:modified xsi:type="dcterms:W3CDTF">2018-07-02T20:08:00Z</dcterms:modified>
</cp:coreProperties>
</file>