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0" w:type="dxa"/>
        <w:tblCellSpacing w:w="15" w:type="dxa"/>
        <w:shd w:val="clear" w:color="auto" w:fill="FFFFFF"/>
        <w:tblCellMar>
          <w:top w:w="15" w:type="dxa"/>
          <w:left w:w="15" w:type="dxa"/>
          <w:bottom w:w="15" w:type="dxa"/>
          <w:right w:w="15" w:type="dxa"/>
        </w:tblCellMar>
        <w:tblLook w:val="0000"/>
      </w:tblPr>
      <w:tblGrid>
        <w:gridCol w:w="8880"/>
      </w:tblGrid>
      <w:tr w:rsidR="00CE48DE">
        <w:trPr>
          <w:tblCellSpacing w:w="15" w:type="dxa"/>
        </w:trPr>
        <w:tc>
          <w:tcPr>
            <w:tcW w:w="8820" w:type="dxa"/>
            <w:shd w:val="clear" w:color="auto" w:fill="FFFFFF"/>
          </w:tcPr>
          <w:p w:rsidR="00CE48DE" w:rsidRPr="00120B26" w:rsidRDefault="00CE48DE" w:rsidP="00120B26">
            <w:pPr>
              <w:jc w:val="center"/>
              <w:rPr>
                <w:b/>
              </w:rPr>
            </w:pPr>
            <w:r w:rsidRPr="00120B26">
              <w:rPr>
                <w:b/>
              </w:rPr>
              <w:t>APPLIED PETROCHEMICAL TECHNOLOGY</w:t>
            </w:r>
          </w:p>
          <w:p w:rsidR="00CE48DE" w:rsidRDefault="00CE48DE" w:rsidP="00120B26">
            <w:pPr>
              <w:jc w:val="center"/>
              <w:rPr>
                <w:b/>
                <w:bCs/>
              </w:rPr>
            </w:pPr>
            <w:r w:rsidRPr="00120B26">
              <w:rPr>
                <w:b/>
                <w:bCs/>
              </w:rPr>
              <w:t>CTEC 1401</w:t>
            </w:r>
          </w:p>
          <w:p w:rsidR="00120B26" w:rsidRDefault="0039100D" w:rsidP="00120B26">
            <w:pPr>
              <w:jc w:val="center"/>
              <w:rPr>
                <w:szCs w:val="24"/>
              </w:rPr>
            </w:pPr>
            <w:r>
              <w:rPr>
                <w:b/>
                <w:bCs/>
              </w:rPr>
              <w:t>Fall</w:t>
            </w:r>
            <w:r w:rsidR="005A18CA">
              <w:rPr>
                <w:b/>
                <w:bCs/>
              </w:rPr>
              <w:t xml:space="preserve"> 201</w:t>
            </w:r>
            <w:r w:rsidR="00C6116F">
              <w:rPr>
                <w:b/>
                <w:bCs/>
              </w:rPr>
              <w:t>1</w:t>
            </w:r>
          </w:p>
        </w:tc>
      </w:tr>
      <w:tr w:rsidR="00CE48DE">
        <w:trPr>
          <w:trHeight w:val="180"/>
          <w:tblCellSpacing w:w="15" w:type="dxa"/>
        </w:trPr>
        <w:tc>
          <w:tcPr>
            <w:tcW w:w="8820" w:type="dxa"/>
            <w:shd w:val="clear" w:color="auto" w:fill="E0D3FE"/>
            <w:vAlign w:val="center"/>
          </w:tcPr>
          <w:p w:rsidR="00CE48DE" w:rsidRDefault="00CE48DE">
            <w:pPr>
              <w:spacing w:line="180" w:lineRule="atLeast"/>
              <w:rPr>
                <w:szCs w:val="24"/>
              </w:rPr>
            </w:pPr>
            <w:r>
              <w:rPr>
                <w:color w:val="660000"/>
              </w:rPr>
              <w:t>Course Description</w:t>
            </w:r>
          </w:p>
        </w:tc>
      </w:tr>
      <w:tr w:rsidR="00CE48DE">
        <w:trPr>
          <w:tblCellSpacing w:w="15" w:type="dxa"/>
        </w:trPr>
        <w:tc>
          <w:tcPr>
            <w:tcW w:w="8820" w:type="dxa"/>
            <w:shd w:val="clear" w:color="auto" w:fill="FFFFFF"/>
            <w:noWrap/>
            <w:vAlign w:val="center"/>
          </w:tcPr>
          <w:p w:rsidR="00CE48DE" w:rsidRPr="000C39CD" w:rsidRDefault="000C39CD" w:rsidP="000C39CD">
            <w:pPr>
              <w:pStyle w:val="NormalWeb"/>
            </w:pPr>
            <w:r w:rsidRPr="000C39CD">
              <w:rPr>
                <w:rStyle w:val="text101"/>
                <w:sz w:val="24"/>
                <w:szCs w:val="24"/>
              </w:rPr>
              <w:t xml:space="preserve">Instruction in the basic principles of physics and their application to process facilities. Topics include physical laws and properties and how these relate to the operation of processes. </w:t>
            </w:r>
            <w:r w:rsidR="005A18CA">
              <w:rPr>
                <w:rStyle w:val="text101"/>
                <w:sz w:val="24"/>
                <w:szCs w:val="24"/>
              </w:rPr>
              <w:t xml:space="preserve"> </w:t>
            </w:r>
            <w:r w:rsidRPr="000C39CD">
              <w:t>Additional topics will include basic principles of petroleum chemistry, refinery operations, and basic petroleum practical calculations.</w:t>
            </w:r>
          </w:p>
        </w:tc>
      </w:tr>
      <w:tr w:rsidR="00CE48DE">
        <w:trPr>
          <w:tblCellSpacing w:w="15" w:type="dxa"/>
        </w:trPr>
        <w:tc>
          <w:tcPr>
            <w:tcW w:w="8820" w:type="dxa"/>
            <w:shd w:val="clear" w:color="auto" w:fill="E1D4FF"/>
            <w:vAlign w:val="center"/>
          </w:tcPr>
          <w:p w:rsidR="00CE48DE" w:rsidRDefault="00CE48DE">
            <w:pPr>
              <w:rPr>
                <w:szCs w:val="24"/>
              </w:rPr>
            </w:pPr>
            <w:r>
              <w:rPr>
                <w:color w:val="660000"/>
              </w:rPr>
              <w:t>Prerequisites</w:t>
            </w:r>
          </w:p>
        </w:tc>
      </w:tr>
      <w:tr w:rsidR="00CE48DE">
        <w:trPr>
          <w:tblCellSpacing w:w="15" w:type="dxa"/>
        </w:trPr>
        <w:tc>
          <w:tcPr>
            <w:tcW w:w="8820" w:type="dxa"/>
            <w:shd w:val="clear" w:color="auto" w:fill="FFFFFF"/>
            <w:vAlign w:val="center"/>
          </w:tcPr>
          <w:p w:rsidR="00CE48DE" w:rsidRDefault="00CE48DE">
            <w:pPr>
              <w:pStyle w:val="NormalWeb"/>
            </w:pPr>
            <w:r>
              <w:t>SCIT 1414 or CHEM 1411 or departmental approval</w:t>
            </w:r>
          </w:p>
        </w:tc>
      </w:tr>
      <w:tr w:rsidR="00CE48DE">
        <w:trPr>
          <w:tblCellSpacing w:w="15" w:type="dxa"/>
        </w:trPr>
        <w:tc>
          <w:tcPr>
            <w:tcW w:w="8820" w:type="dxa"/>
            <w:shd w:val="clear" w:color="auto" w:fill="E1D4FF"/>
            <w:vAlign w:val="center"/>
          </w:tcPr>
          <w:p w:rsidR="00CE48DE" w:rsidRDefault="00CE48DE">
            <w:pPr>
              <w:rPr>
                <w:szCs w:val="24"/>
              </w:rPr>
            </w:pPr>
            <w:r>
              <w:rPr>
                <w:rStyle w:val="myindexhead"/>
                <w:color w:val="660000"/>
              </w:rPr>
              <w:t>Course Contents </w:t>
            </w:r>
          </w:p>
        </w:tc>
      </w:tr>
      <w:tr w:rsidR="00CE48DE">
        <w:trPr>
          <w:trHeight w:val="195"/>
          <w:tblCellSpacing w:w="15" w:type="dxa"/>
        </w:trPr>
        <w:tc>
          <w:tcPr>
            <w:tcW w:w="8820" w:type="dxa"/>
            <w:shd w:val="clear" w:color="auto" w:fill="FFFFFF"/>
            <w:vAlign w:val="center"/>
          </w:tcPr>
          <w:p w:rsidR="000C39CD" w:rsidRDefault="00CE48DE" w:rsidP="000C39CD">
            <w:pPr>
              <w:jc w:val="both"/>
            </w:pPr>
            <w:r>
              <w:t xml:space="preserve">Introduction, crude oil characteristics, distilling, flashing, the chemistry of petroleum, catalytic cracking, refinery gas plants, alkylation, catalytic reforming, residue reduction, </w:t>
            </w:r>
            <w:proofErr w:type="spellStart"/>
            <w:r>
              <w:t>hydrocracking</w:t>
            </w:r>
            <w:proofErr w:type="spellEnd"/>
            <w:r>
              <w:t xml:space="preserve">, gasoline blending, distillate fuels, asphalt and residual fuel, hydrogen, </w:t>
            </w:r>
            <w:proofErr w:type="spellStart"/>
            <w:r>
              <w:t>hydrotreating</w:t>
            </w:r>
            <w:proofErr w:type="spellEnd"/>
            <w:r>
              <w:t xml:space="preserve">, and sulfur plants, </w:t>
            </w:r>
            <w:proofErr w:type="spellStart"/>
            <w:r>
              <w:t>isomerization</w:t>
            </w:r>
            <w:proofErr w:type="spellEnd"/>
            <w:r>
              <w:t>, solvent recovery of aromatics, ethylene plants, simple and complex refineries, crude oil, condensate, and natural gas liquids, fuel values—heating values</w:t>
            </w:r>
            <w:r w:rsidR="00120B26">
              <w:t>.</w:t>
            </w:r>
          </w:p>
          <w:p w:rsidR="000C39CD" w:rsidRPr="00EC7388" w:rsidRDefault="00EC7388" w:rsidP="000C39CD">
            <w:pPr>
              <w:jc w:val="both"/>
              <w:rPr>
                <w:szCs w:val="24"/>
              </w:rPr>
            </w:pPr>
            <w:r>
              <w:rPr>
                <w:rStyle w:val="text101"/>
                <w:b/>
                <w:bCs/>
                <w:sz w:val="24"/>
                <w:szCs w:val="24"/>
              </w:rPr>
              <w:t xml:space="preserve">Additional </w:t>
            </w:r>
            <w:r w:rsidR="000C39CD" w:rsidRPr="00EC7388">
              <w:rPr>
                <w:rStyle w:val="text101"/>
                <w:b/>
                <w:bCs/>
                <w:sz w:val="24"/>
                <w:szCs w:val="24"/>
              </w:rPr>
              <w:t>End-of-Course Outcomes:</w:t>
            </w:r>
            <w:r w:rsidR="000C39CD" w:rsidRPr="00EC7388">
              <w:rPr>
                <w:rStyle w:val="text101"/>
                <w:sz w:val="24"/>
                <w:szCs w:val="24"/>
              </w:rPr>
              <w:t xml:space="preserve"> Define terms and principles of applied physics; solve problems using basic laws of physics; and apply principles of physics to the operation of plant equipment.  All outcomes are relevant to petroleum refinery operations</w:t>
            </w:r>
          </w:p>
          <w:p w:rsidR="000C39CD" w:rsidRDefault="000C39CD" w:rsidP="00A326B9">
            <w:pPr>
              <w:jc w:val="both"/>
            </w:pPr>
          </w:p>
          <w:p w:rsidR="00693C47" w:rsidRPr="00693C47" w:rsidRDefault="00CE48DE" w:rsidP="00A326B9">
            <w:pPr>
              <w:jc w:val="both"/>
              <w:rPr>
                <w:b/>
                <w:bCs/>
                <w:u w:val="single"/>
              </w:rPr>
            </w:pPr>
            <w:r w:rsidRPr="00693C47">
              <w:rPr>
                <w:b/>
                <w:bCs/>
                <w:u w:val="single"/>
              </w:rPr>
              <w:t>Class schedule and t</w:t>
            </w:r>
            <w:r w:rsidR="00120B26" w:rsidRPr="00693C47">
              <w:rPr>
                <w:b/>
                <w:bCs/>
                <w:u w:val="single"/>
              </w:rPr>
              <w:t>opics is subject to changes by i</w:t>
            </w:r>
            <w:r w:rsidRPr="00693C47">
              <w:rPr>
                <w:b/>
                <w:bCs/>
                <w:u w:val="single"/>
              </w:rPr>
              <w:t>nstructor with proper prior notice</w:t>
            </w:r>
            <w:r w:rsidR="002307B3" w:rsidRPr="00693C47">
              <w:rPr>
                <w:b/>
                <w:bCs/>
                <w:u w:val="single"/>
              </w:rPr>
              <w:t>.</w:t>
            </w:r>
          </w:p>
          <w:p w:rsidR="00693C47" w:rsidRDefault="00693C47" w:rsidP="00A326B9">
            <w:pPr>
              <w:jc w:val="both"/>
              <w:rPr>
                <w:b/>
                <w:bCs/>
              </w:rPr>
            </w:pPr>
          </w:p>
          <w:p w:rsidR="00693C47" w:rsidRDefault="002307B3" w:rsidP="00A326B9">
            <w:pPr>
              <w:jc w:val="both"/>
              <w:rPr>
                <w:b/>
                <w:bCs/>
              </w:rPr>
            </w:pPr>
            <w:r>
              <w:rPr>
                <w:b/>
                <w:bCs/>
              </w:rPr>
              <w:t>YOU MUST MAKE SURE THAT YOU ARE REGISTERED FOR THIS COURSE AND YOUR NAME IS IN THE CLASS ROSTER.  THIS IS YOUR RESPONSIBILITY.  STUDENTS, WHOSE NAME IS NOT IN THE ROSTER, ARE NOT ALLOWED TO BE IN THE CLASS.</w:t>
            </w:r>
            <w:r w:rsidR="00693C47">
              <w:rPr>
                <w:b/>
                <w:bCs/>
              </w:rPr>
              <w:t xml:space="preserve">  </w:t>
            </w:r>
          </w:p>
          <w:p w:rsidR="00693C47" w:rsidRDefault="00693C47" w:rsidP="00A326B9">
            <w:pPr>
              <w:jc w:val="both"/>
              <w:rPr>
                <w:b/>
                <w:bCs/>
              </w:rPr>
            </w:pPr>
          </w:p>
          <w:p w:rsidR="00CE48DE" w:rsidRDefault="00693C47" w:rsidP="00A326B9">
            <w:pPr>
              <w:jc w:val="both"/>
            </w:pPr>
            <w:r w:rsidRPr="00693C47">
              <w:rPr>
                <w:b/>
                <w:bCs/>
                <w:u w:val="single"/>
              </w:rPr>
              <w:t>In the event you need to drop the class, it is your responsibility to do so.</w:t>
            </w:r>
          </w:p>
        </w:tc>
      </w:tr>
      <w:tr w:rsidR="00CE48DE">
        <w:trPr>
          <w:tblCellSpacing w:w="15" w:type="dxa"/>
        </w:trPr>
        <w:tc>
          <w:tcPr>
            <w:tcW w:w="8820" w:type="dxa"/>
            <w:shd w:val="clear" w:color="auto" w:fill="E0D4FF"/>
            <w:vAlign w:val="center"/>
          </w:tcPr>
          <w:p w:rsidR="00CE48DE" w:rsidRDefault="00CE48DE">
            <w:pPr>
              <w:rPr>
                <w:szCs w:val="24"/>
              </w:rPr>
            </w:pPr>
            <w:r>
              <w:rPr>
                <w:color w:val="660000"/>
              </w:rPr>
              <w:t>Instructor Information</w:t>
            </w:r>
          </w:p>
        </w:tc>
      </w:tr>
      <w:tr w:rsidR="00CE48DE">
        <w:trPr>
          <w:tblCellSpacing w:w="15" w:type="dxa"/>
        </w:trPr>
        <w:tc>
          <w:tcPr>
            <w:tcW w:w="8820" w:type="dxa"/>
            <w:shd w:val="clear" w:color="auto" w:fill="FFFFFF"/>
            <w:vAlign w:val="center"/>
          </w:tcPr>
          <w:p w:rsidR="000C39CD" w:rsidRDefault="00CE48DE" w:rsidP="000C39CD">
            <w:r>
              <w:t xml:space="preserve"> </w:t>
            </w:r>
            <w:r w:rsidR="000C39CD">
              <w:t>Dr. John K. Galiotos</w:t>
            </w:r>
          </w:p>
          <w:p w:rsidR="000C39CD" w:rsidRDefault="000C39CD" w:rsidP="000C39CD">
            <w:r>
              <w:t xml:space="preserve">E-mail: </w:t>
            </w:r>
            <w:hyperlink r:id="rId5" w:history="1">
              <w:r w:rsidRPr="00BE4E03">
                <w:rPr>
                  <w:rStyle w:val="Hyperlink"/>
                  <w:rFonts w:ascii="Verdana" w:hAnsi="Verdana"/>
                  <w:sz w:val="20"/>
                </w:rPr>
                <w:t>john.galiotos@hccs.edu</w:t>
              </w:r>
            </w:hyperlink>
            <w:r>
              <w:t xml:space="preserve"> </w:t>
            </w:r>
          </w:p>
          <w:p w:rsidR="000C39CD" w:rsidRDefault="000C39CD" w:rsidP="000C39CD">
            <w:r>
              <w:t>Tel. 713-718-5253</w:t>
            </w:r>
          </w:p>
          <w:p w:rsidR="000C39CD" w:rsidRDefault="000C39CD" w:rsidP="000C39CD">
            <w:r>
              <w:t xml:space="preserve">Secretary’s phone number: 713-718-5534 </w:t>
            </w:r>
          </w:p>
          <w:p w:rsidR="000C39CD" w:rsidRDefault="000C39CD" w:rsidP="000C39CD">
            <w:r>
              <w:t>Office # 100.1 (Science and Engineering Technology-Energy Institute, Suite 100)</w:t>
            </w:r>
          </w:p>
          <w:p w:rsidR="00CE48DE" w:rsidRDefault="000C39CD" w:rsidP="000C39CD">
            <w:r>
              <w:t>Office hours: M, W 12-2 pm (due t</w:t>
            </w:r>
            <w:r w:rsidR="0039100D">
              <w:t>o my position as HCC-NE Energy Programs Coordinator</w:t>
            </w:r>
            <w:r>
              <w:t>, I may have to change my regular office hours with notice)</w:t>
            </w:r>
          </w:p>
        </w:tc>
      </w:tr>
      <w:tr w:rsidR="00CE48DE">
        <w:trPr>
          <w:tblCellSpacing w:w="15" w:type="dxa"/>
        </w:trPr>
        <w:tc>
          <w:tcPr>
            <w:tcW w:w="8820" w:type="dxa"/>
            <w:shd w:val="clear" w:color="auto" w:fill="E1D4FF"/>
            <w:vAlign w:val="center"/>
          </w:tcPr>
          <w:p w:rsidR="00CE48DE" w:rsidRDefault="00CE48DE">
            <w:pPr>
              <w:rPr>
                <w:szCs w:val="24"/>
              </w:rPr>
            </w:pPr>
            <w:r>
              <w:rPr>
                <w:color w:val="660000"/>
              </w:rPr>
              <w:t>Textbook Information</w:t>
            </w:r>
          </w:p>
        </w:tc>
      </w:tr>
      <w:tr w:rsidR="00CE48DE">
        <w:trPr>
          <w:tblCellSpacing w:w="15" w:type="dxa"/>
        </w:trPr>
        <w:tc>
          <w:tcPr>
            <w:tcW w:w="8820" w:type="dxa"/>
            <w:shd w:val="clear" w:color="auto" w:fill="FFFFFF"/>
            <w:vAlign w:val="center"/>
          </w:tcPr>
          <w:p w:rsidR="00CE48DE" w:rsidRDefault="00A326B9">
            <w:pPr>
              <w:spacing w:before="100" w:beforeAutospacing="1" w:after="100" w:afterAutospacing="1"/>
              <w:rPr>
                <w:szCs w:val="24"/>
              </w:rPr>
            </w:pPr>
            <w:r>
              <w:rPr>
                <w:szCs w:val="24"/>
              </w:rPr>
              <w:t>“</w:t>
            </w:r>
            <w:r w:rsidR="00CE48DE">
              <w:rPr>
                <w:szCs w:val="24"/>
              </w:rPr>
              <w:t>Petro</w:t>
            </w:r>
            <w:r>
              <w:rPr>
                <w:szCs w:val="24"/>
              </w:rPr>
              <w:t>leum Refining in Non-Technical Language”</w:t>
            </w:r>
            <w:r w:rsidR="000C39CD">
              <w:rPr>
                <w:szCs w:val="24"/>
              </w:rPr>
              <w:t xml:space="preserve"> 4</w:t>
            </w:r>
            <w:r w:rsidR="000C39CD" w:rsidRPr="000C39CD">
              <w:rPr>
                <w:szCs w:val="24"/>
                <w:vertAlign w:val="superscript"/>
              </w:rPr>
              <w:t>th</w:t>
            </w:r>
            <w:r w:rsidR="000C39CD">
              <w:rPr>
                <w:szCs w:val="24"/>
              </w:rPr>
              <w:t xml:space="preserve"> </w:t>
            </w:r>
            <w:r w:rsidR="00CE48DE">
              <w:rPr>
                <w:szCs w:val="24"/>
              </w:rPr>
              <w:t xml:space="preserve">edition by W. </w:t>
            </w:r>
            <w:proofErr w:type="spellStart"/>
            <w:r w:rsidR="00CE48DE">
              <w:rPr>
                <w:szCs w:val="24"/>
              </w:rPr>
              <w:t>Leffler</w:t>
            </w:r>
            <w:proofErr w:type="spellEnd"/>
            <w:r w:rsidR="00CE48DE">
              <w:rPr>
                <w:szCs w:val="24"/>
              </w:rPr>
              <w:t xml:space="preserve">, ISBN: </w:t>
            </w:r>
            <w:r w:rsidR="000C39CD">
              <w:rPr>
                <w:rFonts w:ascii="Arial" w:hAnsi="Arial" w:cs="Arial"/>
                <w:sz w:val="20"/>
              </w:rPr>
              <w:t>978-1-59370-158-1;</w:t>
            </w:r>
            <w:r w:rsidR="00CE48DE">
              <w:t xml:space="preserve"> </w:t>
            </w:r>
            <w:r w:rsidR="000C39CD">
              <w:rPr>
                <w:szCs w:val="24"/>
              </w:rPr>
              <w:t>Penn Well Publishers 2008</w:t>
            </w:r>
            <w:r w:rsidR="00DA657E">
              <w:rPr>
                <w:szCs w:val="24"/>
              </w:rPr>
              <w:t>; r</w:t>
            </w:r>
            <w:r w:rsidR="001A391A">
              <w:rPr>
                <w:szCs w:val="24"/>
              </w:rPr>
              <w:t>equired</w:t>
            </w:r>
          </w:p>
          <w:p w:rsidR="000C39CD" w:rsidRPr="00B12F79" w:rsidRDefault="000C39CD" w:rsidP="000C39CD">
            <w:pPr>
              <w:spacing w:before="100" w:beforeAutospacing="1" w:after="100" w:afterAutospacing="1"/>
              <w:rPr>
                <w:bCs/>
                <w:u w:val="single"/>
              </w:rPr>
            </w:pPr>
            <w:r w:rsidRPr="00B12F79">
              <w:rPr>
                <w:bCs/>
                <w:u w:val="single"/>
              </w:rPr>
              <w:t xml:space="preserve">Recommended </w:t>
            </w:r>
            <w:r>
              <w:rPr>
                <w:bCs/>
                <w:u w:val="single"/>
              </w:rPr>
              <w:t xml:space="preserve">(but not required) </w:t>
            </w:r>
            <w:r w:rsidRPr="00B12F79">
              <w:rPr>
                <w:bCs/>
                <w:u w:val="single"/>
              </w:rPr>
              <w:t>Texts</w:t>
            </w:r>
            <w:r>
              <w:rPr>
                <w:bCs/>
                <w:u w:val="single"/>
              </w:rPr>
              <w:t xml:space="preserve"> for additional reading</w:t>
            </w:r>
            <w:r w:rsidRPr="00B12F79">
              <w:rPr>
                <w:bCs/>
                <w:u w:val="single"/>
              </w:rPr>
              <w:t xml:space="preserve">: </w:t>
            </w:r>
          </w:p>
          <w:p w:rsidR="00A326B9" w:rsidRDefault="000C39CD">
            <w:pPr>
              <w:spacing w:before="100" w:beforeAutospacing="1" w:after="100" w:afterAutospacing="1"/>
              <w:rPr>
                <w:szCs w:val="24"/>
              </w:rPr>
            </w:pPr>
            <w:r>
              <w:rPr>
                <w:szCs w:val="24"/>
              </w:rPr>
              <w:t xml:space="preserve"> </w:t>
            </w:r>
            <w:r w:rsidR="00A326B9">
              <w:rPr>
                <w:szCs w:val="24"/>
              </w:rPr>
              <w:t xml:space="preserve">“Handbook of Petroleum Refining Processes” by Robert A. </w:t>
            </w:r>
            <w:proofErr w:type="spellStart"/>
            <w:r w:rsidR="00A326B9">
              <w:rPr>
                <w:szCs w:val="24"/>
              </w:rPr>
              <w:t>Mayers</w:t>
            </w:r>
            <w:proofErr w:type="spellEnd"/>
            <w:r w:rsidR="00A326B9">
              <w:rPr>
                <w:szCs w:val="24"/>
              </w:rPr>
              <w:t xml:space="preserve"> 2</w:t>
            </w:r>
            <w:r w:rsidR="00A326B9" w:rsidRPr="00A326B9">
              <w:rPr>
                <w:szCs w:val="24"/>
                <w:vertAlign w:val="superscript"/>
              </w:rPr>
              <w:t>nd</w:t>
            </w:r>
            <w:r w:rsidR="00A326B9">
              <w:rPr>
                <w:szCs w:val="24"/>
              </w:rPr>
              <w:t xml:space="preserve"> edition ISBN: 0-</w:t>
            </w:r>
            <w:r w:rsidR="00A326B9">
              <w:rPr>
                <w:szCs w:val="24"/>
              </w:rPr>
              <w:lastRenderedPageBreak/>
              <w:t>07-041796-2</w:t>
            </w:r>
            <w:r w:rsidR="001C3DFB">
              <w:rPr>
                <w:szCs w:val="24"/>
              </w:rPr>
              <w:t xml:space="preserve"> or latest edition</w:t>
            </w:r>
            <w:r w:rsidR="001A391A">
              <w:rPr>
                <w:szCs w:val="24"/>
              </w:rPr>
              <w:t>-Recommended</w:t>
            </w:r>
          </w:p>
          <w:p w:rsidR="001A391A" w:rsidRDefault="001A391A">
            <w:pPr>
              <w:spacing w:before="100" w:beforeAutospacing="1" w:after="100" w:afterAutospacing="1"/>
              <w:rPr>
                <w:szCs w:val="24"/>
              </w:rPr>
            </w:pPr>
            <w:r>
              <w:rPr>
                <w:szCs w:val="24"/>
              </w:rPr>
              <w:t>Additional hand out will be supplied to the students</w:t>
            </w:r>
            <w:r w:rsidR="000C39CD">
              <w:rPr>
                <w:szCs w:val="24"/>
              </w:rPr>
              <w:t xml:space="preserve"> for lab and internet research.</w:t>
            </w:r>
          </w:p>
        </w:tc>
      </w:tr>
      <w:tr w:rsidR="00CE48DE">
        <w:trPr>
          <w:tblCellSpacing w:w="15" w:type="dxa"/>
        </w:trPr>
        <w:tc>
          <w:tcPr>
            <w:tcW w:w="8820" w:type="dxa"/>
            <w:shd w:val="clear" w:color="auto" w:fill="E1D4FF"/>
            <w:vAlign w:val="center"/>
          </w:tcPr>
          <w:p w:rsidR="00CE48DE" w:rsidRDefault="00CE48DE">
            <w:pPr>
              <w:rPr>
                <w:szCs w:val="24"/>
              </w:rPr>
            </w:pPr>
            <w:r>
              <w:rPr>
                <w:color w:val="660000"/>
              </w:rPr>
              <w:lastRenderedPageBreak/>
              <w:t>Lab Requirements (if any)</w:t>
            </w:r>
          </w:p>
        </w:tc>
      </w:tr>
      <w:tr w:rsidR="00CE48DE">
        <w:trPr>
          <w:tblCellSpacing w:w="15" w:type="dxa"/>
        </w:trPr>
        <w:tc>
          <w:tcPr>
            <w:tcW w:w="8820" w:type="dxa"/>
            <w:shd w:val="clear" w:color="auto" w:fill="FFFFFF"/>
            <w:vAlign w:val="center"/>
          </w:tcPr>
          <w:p w:rsidR="000D7253" w:rsidRDefault="000D7253" w:rsidP="00DB39F4">
            <w:pPr>
              <w:jc w:val="both"/>
            </w:pPr>
            <w:r>
              <w:t>Lab demonstrations on will be covered.  These include:</w:t>
            </w:r>
          </w:p>
          <w:p w:rsidR="000D7253" w:rsidRDefault="000D7253" w:rsidP="000D7253">
            <w:pPr>
              <w:numPr>
                <w:ilvl w:val="0"/>
                <w:numId w:val="4"/>
              </w:numPr>
              <w:jc w:val="both"/>
            </w:pPr>
            <w:r>
              <w:t>Hydrocarbon safety</w:t>
            </w:r>
          </w:p>
          <w:p w:rsidR="000D7253" w:rsidRDefault="000D7253" w:rsidP="000D7253">
            <w:pPr>
              <w:numPr>
                <w:ilvl w:val="0"/>
                <w:numId w:val="4"/>
              </w:numPr>
              <w:jc w:val="both"/>
            </w:pPr>
            <w:r>
              <w:t>Fluidic Catalytic Cracker operations</w:t>
            </w:r>
          </w:p>
          <w:p w:rsidR="000D7253" w:rsidRDefault="000D7253" w:rsidP="000D7253">
            <w:pPr>
              <w:numPr>
                <w:ilvl w:val="0"/>
                <w:numId w:val="4"/>
              </w:numPr>
              <w:jc w:val="both"/>
            </w:pPr>
            <w:r>
              <w:t>API and other density calculations</w:t>
            </w:r>
          </w:p>
          <w:p w:rsidR="00C6116F" w:rsidRDefault="00C6116F" w:rsidP="000D7253">
            <w:pPr>
              <w:numPr>
                <w:ilvl w:val="0"/>
                <w:numId w:val="4"/>
              </w:numPr>
              <w:jc w:val="both"/>
            </w:pPr>
            <w:r>
              <w:t xml:space="preserve">Refinery equipment identification </w:t>
            </w:r>
          </w:p>
          <w:p w:rsidR="00C6116F" w:rsidRDefault="00C6116F" w:rsidP="000D7253">
            <w:pPr>
              <w:numPr>
                <w:ilvl w:val="0"/>
                <w:numId w:val="4"/>
              </w:numPr>
              <w:jc w:val="both"/>
            </w:pPr>
            <w:r>
              <w:t>Refinery Operations</w:t>
            </w:r>
          </w:p>
          <w:p w:rsidR="000D7253" w:rsidRDefault="000D7253" w:rsidP="00C6116F">
            <w:pPr>
              <w:ind w:left="360"/>
              <w:jc w:val="both"/>
            </w:pPr>
          </w:p>
          <w:p w:rsidR="000D7253" w:rsidRDefault="000D7253" w:rsidP="00DB39F4">
            <w:pPr>
              <w:jc w:val="both"/>
            </w:pPr>
            <w:r>
              <w:t>All lab practices will be exercised following all safety rules and regulations at all times.</w:t>
            </w:r>
          </w:p>
          <w:p w:rsidR="00CE48DE" w:rsidRDefault="00C6116F" w:rsidP="00DB39F4">
            <w:pPr>
              <w:jc w:val="both"/>
            </w:pPr>
            <w:r>
              <w:t>Labs will take place at COOPER Industries and the Energy Institute, as appropriate and scheduled.</w:t>
            </w:r>
          </w:p>
        </w:tc>
      </w:tr>
      <w:tr w:rsidR="00CE48DE">
        <w:trPr>
          <w:tblCellSpacing w:w="15" w:type="dxa"/>
        </w:trPr>
        <w:tc>
          <w:tcPr>
            <w:tcW w:w="8820" w:type="dxa"/>
            <w:shd w:val="clear" w:color="auto" w:fill="E1D4FF"/>
            <w:vAlign w:val="center"/>
          </w:tcPr>
          <w:p w:rsidR="00CE48DE" w:rsidRDefault="00CE48DE">
            <w:pPr>
              <w:rPr>
                <w:szCs w:val="24"/>
              </w:rPr>
            </w:pPr>
            <w:r>
              <w:rPr>
                <w:color w:val="660000"/>
              </w:rPr>
              <w:t>Students with Disabilities</w:t>
            </w:r>
          </w:p>
        </w:tc>
      </w:tr>
      <w:tr w:rsidR="00CE48DE">
        <w:trPr>
          <w:tblCellSpacing w:w="15" w:type="dxa"/>
        </w:trPr>
        <w:tc>
          <w:tcPr>
            <w:tcW w:w="8820" w:type="dxa"/>
            <w:shd w:val="clear" w:color="auto" w:fill="FFFFFF"/>
            <w:vAlign w:val="center"/>
          </w:tcPr>
          <w:p w:rsidR="00CE48DE" w:rsidRDefault="000D7253" w:rsidP="000D7253">
            <w:pPr>
              <w:pStyle w:val="NormalWeb"/>
            </w:pPr>
            <w:r>
              <w:t>Any student with a documented disability (e.g. physical, learning, psychiatric, vision, hearing, etc.) who needs to arrange reasonable accommodations must contact the Disability Services Office of their respective college at the beginning of each semester. Faculty is authorized to provide only the accommodations requested by the Disability Support Services Office.</w:t>
            </w:r>
            <w:r>
              <w:br/>
              <w:t>For questions, contact Donna Price at 713-718-5165 or the</w:t>
            </w:r>
            <w:r>
              <w:br/>
              <w:t>Disability Counselor at your college. To visit the ADA Web site</w:t>
            </w:r>
            <w:proofErr w:type="gramStart"/>
            <w:r>
              <w:t>,</w:t>
            </w:r>
            <w:proofErr w:type="gramEnd"/>
            <w:r>
              <w:br/>
              <w:t>log on to www.hccs.edu, click Future Students, scroll down the</w:t>
            </w:r>
            <w:r>
              <w:br/>
              <w:t>page and click on the words Disability Information.</w:t>
            </w:r>
            <w:r>
              <w:br/>
            </w:r>
            <w:r>
              <w:br/>
              <w:t xml:space="preserve">* District ADA Coordinator – Donna Price – 713-718-5165 </w:t>
            </w:r>
            <w:r>
              <w:br/>
              <w:t xml:space="preserve">* Central ADA Counselors – John Reno – 713-718-6164, </w:t>
            </w:r>
            <w:r>
              <w:br/>
              <w:t>                                             Martha Scribner – 713-718-6164</w:t>
            </w:r>
            <w:r>
              <w:br/>
              <w:t xml:space="preserve">* Northeast ADA Counselor – Kim Ingram – 713-718-8420 </w:t>
            </w:r>
            <w:r>
              <w:br/>
              <w:t xml:space="preserve">* Northwest ADA Counselor – </w:t>
            </w:r>
            <w:proofErr w:type="spellStart"/>
            <w:r>
              <w:t>Mahnaz</w:t>
            </w:r>
            <w:proofErr w:type="spellEnd"/>
            <w:r>
              <w:t xml:space="preserve"> </w:t>
            </w:r>
            <w:proofErr w:type="spellStart"/>
            <w:r>
              <w:t>Kolaini</w:t>
            </w:r>
            <w:proofErr w:type="spellEnd"/>
            <w:r>
              <w:t xml:space="preserve"> – 713-718-5422 </w:t>
            </w:r>
            <w:r>
              <w:br/>
              <w:t xml:space="preserve">* Southeast ADA Counselor – </w:t>
            </w:r>
            <w:proofErr w:type="spellStart"/>
            <w:r>
              <w:t>Jette</w:t>
            </w:r>
            <w:proofErr w:type="spellEnd"/>
            <w:r>
              <w:t xml:space="preserve"> </w:t>
            </w:r>
            <w:proofErr w:type="spellStart"/>
            <w:r>
              <w:t>Friis</w:t>
            </w:r>
            <w:proofErr w:type="spellEnd"/>
            <w:r>
              <w:t xml:space="preserve"> – 713-718-7218 </w:t>
            </w:r>
            <w:r>
              <w:br/>
              <w:t xml:space="preserve">* Southwest ADA Counselor – Dr. Becky </w:t>
            </w:r>
            <w:proofErr w:type="spellStart"/>
            <w:r>
              <w:t>Hauri</w:t>
            </w:r>
            <w:proofErr w:type="spellEnd"/>
            <w:r>
              <w:t xml:space="preserve"> – 713-718-7910 </w:t>
            </w:r>
            <w:r>
              <w:br/>
              <w:t>* Coleman ADA Counselor – Dr. Raj Gupta – 713-718-7631</w:t>
            </w:r>
          </w:p>
        </w:tc>
      </w:tr>
      <w:tr w:rsidR="00CE48DE">
        <w:trPr>
          <w:tblCellSpacing w:w="15" w:type="dxa"/>
        </w:trPr>
        <w:tc>
          <w:tcPr>
            <w:tcW w:w="8820" w:type="dxa"/>
            <w:shd w:val="clear" w:color="auto" w:fill="E1D4FF"/>
            <w:vAlign w:val="center"/>
          </w:tcPr>
          <w:p w:rsidR="00CE48DE" w:rsidRDefault="00CE48DE">
            <w:pPr>
              <w:rPr>
                <w:szCs w:val="24"/>
              </w:rPr>
            </w:pPr>
            <w:r>
              <w:rPr>
                <w:color w:val="660000"/>
              </w:rPr>
              <w:t>Academic Honesty</w:t>
            </w:r>
          </w:p>
        </w:tc>
      </w:tr>
      <w:tr w:rsidR="00CE48DE">
        <w:trPr>
          <w:tblCellSpacing w:w="15" w:type="dxa"/>
        </w:trPr>
        <w:tc>
          <w:tcPr>
            <w:tcW w:w="8820" w:type="dxa"/>
            <w:shd w:val="clear" w:color="auto" w:fill="FFFFFF"/>
            <w:vAlign w:val="center"/>
          </w:tcPr>
          <w:p w:rsidR="00CE48DE" w:rsidRDefault="00CE48DE" w:rsidP="001A391A">
            <w:r>
              <w:t>Re</w:t>
            </w:r>
            <w:r w:rsidR="000D7253">
              <w:t xml:space="preserve">fer to </w:t>
            </w:r>
            <w:r w:rsidR="00C6116F">
              <w:t>2010-2011</w:t>
            </w:r>
            <w:r w:rsidR="005A18CA">
              <w:t xml:space="preserve"> </w:t>
            </w:r>
            <w:r w:rsidR="00120B26">
              <w:t xml:space="preserve">HCC Student </w:t>
            </w:r>
            <w:proofErr w:type="gramStart"/>
            <w:r w:rsidR="00584120">
              <w:t>Handbook</w:t>
            </w:r>
            <w:proofErr w:type="gramEnd"/>
            <w:r>
              <w:t xml:space="preserve"> for policies. </w:t>
            </w:r>
          </w:p>
        </w:tc>
      </w:tr>
      <w:tr w:rsidR="00CE48DE">
        <w:trPr>
          <w:tblCellSpacing w:w="15" w:type="dxa"/>
        </w:trPr>
        <w:tc>
          <w:tcPr>
            <w:tcW w:w="8820" w:type="dxa"/>
            <w:shd w:val="clear" w:color="auto" w:fill="E1D4FF"/>
            <w:vAlign w:val="center"/>
          </w:tcPr>
          <w:p w:rsidR="00CE48DE" w:rsidRDefault="00CE48DE">
            <w:pPr>
              <w:rPr>
                <w:szCs w:val="24"/>
              </w:rPr>
            </w:pPr>
            <w:r>
              <w:rPr>
                <w:color w:val="660000"/>
              </w:rPr>
              <w:t>Attendance and Withdrawal Policies</w:t>
            </w:r>
          </w:p>
        </w:tc>
      </w:tr>
      <w:tr w:rsidR="00CE48DE">
        <w:trPr>
          <w:tblCellSpacing w:w="15" w:type="dxa"/>
        </w:trPr>
        <w:tc>
          <w:tcPr>
            <w:tcW w:w="8820" w:type="dxa"/>
            <w:shd w:val="clear" w:color="auto" w:fill="FFFFFF"/>
            <w:vAlign w:val="center"/>
          </w:tcPr>
          <w:p w:rsidR="00CE48DE" w:rsidRDefault="00CE48DE" w:rsidP="00693C47">
            <w:pPr>
              <w:jc w:val="both"/>
            </w:pPr>
            <w:r>
              <w:t>The lecture portion of thi</w:t>
            </w:r>
            <w:r w:rsidR="00120B26">
              <w:t>s course meets on scheduled day</w:t>
            </w:r>
            <w:r>
              <w:t xml:space="preserve"> </w:t>
            </w:r>
            <w:r w:rsidR="000D7253">
              <w:t>Friday 9 am to 2 pm</w:t>
            </w:r>
            <w:r w:rsidR="00120B26">
              <w:t xml:space="preserve">.  </w:t>
            </w:r>
            <w:r>
              <w:t xml:space="preserve">Students are expected to attend at least 90% of the classes, since most learning occurs in the classroom and tests are based on material discussed in class. </w:t>
            </w:r>
          </w:p>
          <w:p w:rsidR="00AD1332" w:rsidRDefault="00CE48DE" w:rsidP="00693C47">
            <w:pPr>
              <w:jc w:val="both"/>
            </w:pPr>
            <w:r w:rsidRPr="00120B26">
              <w:rPr>
                <w:u w:val="single"/>
              </w:rPr>
              <w:t>Note</w:t>
            </w:r>
            <w:r w:rsidR="001A391A">
              <w:t xml:space="preserve">: </w:t>
            </w:r>
            <w:r>
              <w:t xml:space="preserve"> It is the responsibility of the student to wit</w:t>
            </w:r>
            <w:r w:rsidR="001A391A">
              <w:t>hdraw officially from a course.</w:t>
            </w:r>
            <w:r>
              <w:t xml:space="preserve"> Administrative drops are at th</w:t>
            </w:r>
            <w:r w:rsidR="00584120">
              <w:t>e discretion of the instructor.</w:t>
            </w:r>
            <w:r>
              <w:t xml:space="preserve">  Failure of a student to officially withdraw by the drop deadline could result in the student receivin</w:t>
            </w:r>
            <w:r w:rsidR="001A391A">
              <w:t>g a grade of "F" in the course.</w:t>
            </w:r>
            <w:r>
              <w:t xml:space="preserve">  </w:t>
            </w:r>
            <w:r w:rsidR="00AD1332">
              <w:t xml:space="preserve">All students are required to be presence during class sessions.  Students must communicate with faculty in cases they need to be absent from a class period. </w:t>
            </w:r>
            <w:r w:rsidR="00AD1332">
              <w:lastRenderedPageBreak/>
              <w:t>Withdraw policies apply as they described in the HCC policy, rules, and regulations.</w:t>
            </w:r>
          </w:p>
          <w:p w:rsidR="00CE48DE" w:rsidRDefault="00AD1332" w:rsidP="00693C47">
            <w:pPr>
              <w:jc w:val="both"/>
            </w:pPr>
            <w:r>
              <w:t xml:space="preserve">Faculty will no longer be able to “withdraw” students on the final semester roll sheets.  You must visit with your faculty advisor, a counselor or on-line student services prior to withdrawing (dropping) the class.  </w:t>
            </w:r>
            <w:r w:rsidR="001A391A">
              <w:t>Also</w:t>
            </w:r>
            <w:r>
              <w:t xml:space="preserve"> refer to the 2007-2009 HCC Student Handbook.</w:t>
            </w:r>
          </w:p>
        </w:tc>
      </w:tr>
      <w:tr w:rsidR="00CE48DE">
        <w:trPr>
          <w:tblCellSpacing w:w="15" w:type="dxa"/>
        </w:trPr>
        <w:tc>
          <w:tcPr>
            <w:tcW w:w="8820" w:type="dxa"/>
            <w:shd w:val="clear" w:color="auto" w:fill="E1D4FF"/>
            <w:vAlign w:val="center"/>
          </w:tcPr>
          <w:p w:rsidR="00CE48DE" w:rsidRDefault="00CE48DE">
            <w:pPr>
              <w:rPr>
                <w:szCs w:val="24"/>
              </w:rPr>
            </w:pPr>
            <w:r>
              <w:rPr>
                <w:color w:val="660000"/>
              </w:rPr>
              <w:lastRenderedPageBreak/>
              <w:t>Course Requirements and Grading Policy</w:t>
            </w:r>
          </w:p>
        </w:tc>
      </w:tr>
      <w:tr w:rsidR="00CE48DE">
        <w:trPr>
          <w:tblCellSpacing w:w="15" w:type="dxa"/>
        </w:trPr>
        <w:tc>
          <w:tcPr>
            <w:tcW w:w="8820" w:type="dxa"/>
            <w:shd w:val="clear" w:color="auto" w:fill="FFFFFF"/>
            <w:vAlign w:val="center"/>
          </w:tcPr>
          <w:p w:rsidR="00CE48DE" w:rsidRDefault="00CE48DE" w:rsidP="00120B26">
            <w:pPr>
              <w:jc w:val="both"/>
            </w:pPr>
            <w:r>
              <w:t>The material in this course will be presented primarily with lecture, handouts, rea</w:t>
            </w:r>
            <w:r w:rsidR="001A391A">
              <w:t xml:space="preserve">ding assignments, </w:t>
            </w:r>
            <w:r w:rsidR="000D7253">
              <w:t xml:space="preserve">lab practices, </w:t>
            </w:r>
            <w:r w:rsidR="005A18CA">
              <w:t xml:space="preserve">CD videos, pp presentations, </w:t>
            </w:r>
            <w:r w:rsidR="001A391A">
              <w:t>and homework.</w:t>
            </w:r>
            <w:r w:rsidR="000D7253">
              <w:t xml:space="preserve">  </w:t>
            </w:r>
          </w:p>
          <w:p w:rsidR="00CE48DE" w:rsidRDefault="00CE48DE" w:rsidP="00120B26">
            <w:pPr>
              <w:jc w:val="both"/>
            </w:pPr>
            <w:r>
              <w:t>The major requirement of this course is the completion of all homework assig</w:t>
            </w:r>
            <w:r w:rsidR="001A391A">
              <w:t>nments and class participation.</w:t>
            </w:r>
            <w:r>
              <w:t xml:space="preserve">  It is imperative that the student takes compl</w:t>
            </w:r>
            <w:r w:rsidR="001A391A">
              <w:t>ete and accurate lecture notes.</w:t>
            </w:r>
            <w:r w:rsidR="005A18CA">
              <w:t xml:space="preserve">  S</w:t>
            </w:r>
            <w:r>
              <w:t>tudent</w:t>
            </w:r>
            <w:r w:rsidR="005A18CA">
              <w:t>s</w:t>
            </w:r>
            <w:r>
              <w:t xml:space="preserve"> will be graded by their proficiency on homework as</w:t>
            </w:r>
            <w:r w:rsidR="001A391A">
              <w:t xml:space="preserve">signments, quizzes, exams, </w:t>
            </w:r>
            <w:r w:rsidR="005A18CA">
              <w:t xml:space="preserve">project paper, </w:t>
            </w:r>
            <w:r w:rsidR="001A391A">
              <w:t>etc.</w:t>
            </w:r>
            <w:r>
              <w:t xml:space="preserve">  Further, the student will be held responsible for all material disc</w:t>
            </w:r>
            <w:r w:rsidR="001A391A">
              <w:t>ussed in the books and lecture.</w:t>
            </w:r>
          </w:p>
          <w:p w:rsidR="00246C87" w:rsidRDefault="00246C87" w:rsidP="00246C87">
            <w:pPr>
              <w:spacing w:before="100" w:beforeAutospacing="1" w:after="100" w:afterAutospacing="1"/>
            </w:pPr>
            <w:r>
              <w:rPr>
                <w:b/>
                <w:u w:val="single"/>
              </w:rPr>
              <w:t>Grading of the Course</w:t>
            </w:r>
            <w:r>
              <w:rPr>
                <w:b/>
              </w:rPr>
              <w:t>:</w:t>
            </w:r>
          </w:p>
          <w:p w:rsidR="00120B26" w:rsidRDefault="00246C87" w:rsidP="00246C87">
            <w:r>
              <w:t xml:space="preserve">The course grade is recorded as A (90-100%), B (80-89%), C (70-79%), D (60-69%) or F (less than 60%).  In accordance to HCC policy, plus or minus grades are not given.  </w:t>
            </w:r>
          </w:p>
          <w:p w:rsidR="00246C87" w:rsidRDefault="00246C87" w:rsidP="00246C87"/>
          <w:p w:rsidR="00CE48DE" w:rsidRPr="00246C87" w:rsidRDefault="00CE48DE">
            <w:pPr>
              <w:rPr>
                <w:b/>
                <w:u w:val="single"/>
              </w:rPr>
            </w:pPr>
            <w:r w:rsidRPr="00246C87">
              <w:rPr>
                <w:b/>
                <w:u w:val="single"/>
              </w:rPr>
              <w:t>Scans Skills</w:t>
            </w:r>
          </w:p>
          <w:p w:rsidR="00CE48DE" w:rsidRDefault="00CE48DE">
            <w:r>
              <w:t>The following activities will be done:</w:t>
            </w:r>
          </w:p>
          <w:p w:rsidR="00CE48DE" w:rsidRDefault="00CE48DE" w:rsidP="00693C47">
            <w:pPr>
              <w:numPr>
                <w:ilvl w:val="0"/>
                <w:numId w:val="1"/>
              </w:numPr>
              <w:jc w:val="both"/>
            </w:pPr>
            <w:r>
              <w:t>Students will read text assignments and related supplemental materials</w:t>
            </w:r>
          </w:p>
          <w:p w:rsidR="00CE48DE" w:rsidRDefault="00CE48DE">
            <w:pPr>
              <w:numPr>
                <w:ilvl w:val="0"/>
                <w:numId w:val="1"/>
              </w:numPr>
            </w:pPr>
            <w:r>
              <w:t>Students will use computers in their work efforts</w:t>
            </w:r>
          </w:p>
          <w:p w:rsidR="00CE48DE" w:rsidRDefault="00CE48DE">
            <w:pPr>
              <w:numPr>
                <w:ilvl w:val="0"/>
                <w:numId w:val="1"/>
              </w:numPr>
            </w:pPr>
            <w:r>
              <w:t xml:space="preserve">Students will make oral presentations on topics related to Chemical Laboratory </w:t>
            </w:r>
            <w:r w:rsidR="001A391A">
              <w:t>and Petroleum Engineering Technologies</w:t>
            </w:r>
          </w:p>
          <w:p w:rsidR="00CE48DE" w:rsidRDefault="00CE48DE">
            <w:pPr>
              <w:numPr>
                <w:ilvl w:val="0"/>
                <w:numId w:val="1"/>
              </w:numPr>
            </w:pPr>
            <w:r>
              <w:t>Students will do literature search on Internet and libraries</w:t>
            </w:r>
          </w:p>
          <w:p w:rsidR="00CE48DE" w:rsidRDefault="00CE48DE">
            <w:pPr>
              <w:numPr>
                <w:ilvl w:val="0"/>
                <w:numId w:val="1"/>
              </w:numPr>
            </w:pPr>
            <w:r>
              <w:t xml:space="preserve">Students will carry out various laboratory </w:t>
            </w:r>
            <w:r w:rsidR="001A391A">
              <w:t xml:space="preserve">an d computer related </w:t>
            </w:r>
            <w:r>
              <w:t>exercises on topics</w:t>
            </w:r>
            <w:r w:rsidR="00246C87">
              <w:t xml:space="preserve"> related to </w:t>
            </w:r>
            <w:r w:rsidR="001A391A">
              <w:t xml:space="preserve">Petroleum Engineering </w:t>
            </w:r>
            <w:r>
              <w:t>Technology</w:t>
            </w:r>
          </w:p>
          <w:p w:rsidR="00CE48DE" w:rsidRDefault="00CE48DE">
            <w:pPr>
              <w:numPr>
                <w:ilvl w:val="0"/>
                <w:numId w:val="1"/>
              </w:numPr>
            </w:pPr>
            <w:r>
              <w:t>Students will write scientific reports</w:t>
            </w:r>
          </w:p>
          <w:p w:rsidR="00CE48DE" w:rsidRDefault="00CE48DE">
            <w:pPr>
              <w:numPr>
                <w:ilvl w:val="0"/>
                <w:numId w:val="1"/>
              </w:numPr>
            </w:pPr>
            <w:r>
              <w:t xml:space="preserve">Students will </w:t>
            </w:r>
            <w:r w:rsidR="005A18CA">
              <w:t xml:space="preserve">learn </w:t>
            </w:r>
            <w:r>
              <w:t>scientific calculations an</w:t>
            </w:r>
            <w:r w:rsidR="001A391A">
              <w:t>d interpret scientific data</w:t>
            </w:r>
            <w:r>
              <w:t xml:space="preserve"> </w:t>
            </w:r>
          </w:p>
          <w:p w:rsidR="00CE48DE" w:rsidRDefault="00CE48DE" w:rsidP="00DB39F4">
            <w:pPr>
              <w:numPr>
                <w:ilvl w:val="0"/>
                <w:numId w:val="1"/>
              </w:numPr>
            </w:pPr>
            <w:r>
              <w:t>Students will prepare fo</w:t>
            </w:r>
            <w:r w:rsidR="00246C87">
              <w:t>r careers in Petroleum</w:t>
            </w:r>
            <w:r w:rsidR="001A391A">
              <w:t xml:space="preserve"> Engineering Technology</w:t>
            </w:r>
            <w:r>
              <w:t xml:space="preserve"> and related fields.</w:t>
            </w:r>
          </w:p>
        </w:tc>
      </w:tr>
      <w:tr w:rsidR="00CE48DE">
        <w:trPr>
          <w:tblCellSpacing w:w="15" w:type="dxa"/>
        </w:trPr>
        <w:tc>
          <w:tcPr>
            <w:tcW w:w="8820" w:type="dxa"/>
            <w:shd w:val="clear" w:color="auto" w:fill="E1D4FF"/>
            <w:vAlign w:val="center"/>
          </w:tcPr>
          <w:p w:rsidR="00CE48DE" w:rsidRDefault="00CE48DE">
            <w:pPr>
              <w:rPr>
                <w:szCs w:val="24"/>
              </w:rPr>
            </w:pPr>
            <w:r>
              <w:rPr>
                <w:color w:val="660000"/>
              </w:rPr>
              <w:t>Testing</w:t>
            </w:r>
          </w:p>
        </w:tc>
      </w:tr>
      <w:tr w:rsidR="00CE48DE">
        <w:trPr>
          <w:tblCellSpacing w:w="15" w:type="dxa"/>
        </w:trPr>
        <w:tc>
          <w:tcPr>
            <w:tcW w:w="8820" w:type="dxa"/>
            <w:shd w:val="clear" w:color="auto" w:fill="FFFFFF"/>
            <w:vAlign w:val="center"/>
          </w:tcPr>
          <w:p w:rsidR="00DB39F4" w:rsidRDefault="001C3DFB" w:rsidP="00584120">
            <w:pPr>
              <w:numPr>
                <w:ilvl w:val="0"/>
                <w:numId w:val="3"/>
              </w:numPr>
              <w:jc w:val="both"/>
            </w:pPr>
            <w:r>
              <w:t>There will be FOUR (4)</w:t>
            </w:r>
            <w:r w:rsidR="00DB39F4">
              <w:t xml:space="preserve"> tests/assignments administered during the course.  Each </w:t>
            </w:r>
            <w:r w:rsidR="00246C87">
              <w:t>will cover the material from three</w:t>
            </w:r>
            <w:r w:rsidR="00DB39F4">
              <w:t xml:space="preserve"> chapters at a time.  Each will count equally toward the final grade and together will ac</w:t>
            </w:r>
            <w:r w:rsidR="00535B6D">
              <w:t>count for 60</w:t>
            </w:r>
            <w:r w:rsidR="00DB39F4">
              <w:t xml:space="preserve">% of </w:t>
            </w:r>
            <w:r w:rsidR="00246C87">
              <w:t xml:space="preserve">the final grade. </w:t>
            </w:r>
            <w:r w:rsidR="00DB39F4">
              <w:t xml:space="preserve"> </w:t>
            </w:r>
          </w:p>
          <w:p w:rsidR="00535B6D" w:rsidRDefault="00535B6D" w:rsidP="00584120">
            <w:pPr>
              <w:numPr>
                <w:ilvl w:val="0"/>
                <w:numId w:val="3"/>
              </w:numPr>
              <w:jc w:val="both"/>
            </w:pPr>
            <w:r>
              <w:t>Each student will write an overview of each chapter of the text that will be covered (there will be 16 overviews; two pages each; typed; single space; 12 size letters; Times Roman font).  This will be 10% of the grade</w:t>
            </w:r>
          </w:p>
          <w:p w:rsidR="00CE48DE" w:rsidRDefault="00535B6D" w:rsidP="00693C47">
            <w:pPr>
              <w:numPr>
                <w:ilvl w:val="0"/>
                <w:numId w:val="3"/>
              </w:numPr>
              <w:jc w:val="both"/>
            </w:pPr>
            <w:r>
              <w:t>There will be 16</w:t>
            </w:r>
            <w:r w:rsidR="00380A3D">
              <w:t xml:space="preserve"> homework assignments</w:t>
            </w:r>
            <w:r w:rsidR="001A391A">
              <w:t xml:space="preserve"> </w:t>
            </w:r>
            <w:r>
              <w:t>worth 1</w:t>
            </w:r>
            <w:r w:rsidR="001A391A">
              <w:t>0</w:t>
            </w:r>
            <w:r w:rsidR="001C3DFB">
              <w:t>% of the final grade as well.</w:t>
            </w:r>
            <w:r w:rsidR="00CE48DE">
              <w:t xml:space="preserve"> </w:t>
            </w:r>
          </w:p>
        </w:tc>
      </w:tr>
      <w:tr w:rsidR="00CE48DE">
        <w:trPr>
          <w:tblCellSpacing w:w="15" w:type="dxa"/>
        </w:trPr>
        <w:tc>
          <w:tcPr>
            <w:tcW w:w="8820" w:type="dxa"/>
            <w:shd w:val="clear" w:color="auto" w:fill="E1D4FF"/>
            <w:vAlign w:val="center"/>
          </w:tcPr>
          <w:p w:rsidR="00CE48DE" w:rsidRDefault="00CE48DE">
            <w:pPr>
              <w:rPr>
                <w:szCs w:val="24"/>
              </w:rPr>
            </w:pPr>
            <w:r>
              <w:rPr>
                <w:color w:val="660000"/>
              </w:rPr>
              <w:t>Make-up policy</w:t>
            </w:r>
          </w:p>
        </w:tc>
      </w:tr>
      <w:tr w:rsidR="00CE48DE">
        <w:trPr>
          <w:tblCellSpacing w:w="15" w:type="dxa"/>
        </w:trPr>
        <w:tc>
          <w:tcPr>
            <w:tcW w:w="8820" w:type="dxa"/>
            <w:shd w:val="clear" w:color="auto" w:fill="FFFFFF"/>
            <w:vAlign w:val="center"/>
          </w:tcPr>
          <w:p w:rsidR="00CE48DE" w:rsidRDefault="00C6116F">
            <w:pPr>
              <w:rPr>
                <w:szCs w:val="24"/>
              </w:rPr>
            </w:pPr>
            <w:r>
              <w:t xml:space="preserve">One make-up test may be </w:t>
            </w:r>
            <w:r w:rsidR="00CE48DE">
              <w:t>allowed with PRIOR permission of the instructor.</w:t>
            </w:r>
          </w:p>
        </w:tc>
      </w:tr>
      <w:tr w:rsidR="00CE48DE">
        <w:trPr>
          <w:tblCellSpacing w:w="15" w:type="dxa"/>
        </w:trPr>
        <w:tc>
          <w:tcPr>
            <w:tcW w:w="8820" w:type="dxa"/>
            <w:shd w:val="clear" w:color="auto" w:fill="E1D4FF"/>
            <w:vAlign w:val="center"/>
          </w:tcPr>
          <w:p w:rsidR="00CE48DE" w:rsidRDefault="00CE48DE">
            <w:pPr>
              <w:rPr>
                <w:szCs w:val="24"/>
              </w:rPr>
            </w:pPr>
            <w:r>
              <w:rPr>
                <w:color w:val="660000"/>
              </w:rPr>
              <w:t>Projects, Assignments, Portfolios, Service Learning, Internships, etc.</w:t>
            </w:r>
          </w:p>
        </w:tc>
      </w:tr>
      <w:tr w:rsidR="00CE48DE">
        <w:trPr>
          <w:tblCellSpacing w:w="15" w:type="dxa"/>
        </w:trPr>
        <w:tc>
          <w:tcPr>
            <w:tcW w:w="8820" w:type="dxa"/>
            <w:shd w:val="clear" w:color="auto" w:fill="FFFFFF"/>
            <w:vAlign w:val="center"/>
          </w:tcPr>
          <w:p w:rsidR="00CE48DE" w:rsidRDefault="001C3DFB" w:rsidP="00693C47">
            <w:pPr>
              <w:jc w:val="both"/>
              <w:rPr>
                <w:szCs w:val="24"/>
              </w:rPr>
            </w:pPr>
            <w:r>
              <w:rPr>
                <w:szCs w:val="24"/>
              </w:rPr>
              <w:t>One projec</w:t>
            </w:r>
            <w:r w:rsidR="00535B6D">
              <w:rPr>
                <w:szCs w:val="24"/>
              </w:rPr>
              <w:t>t is assigned per</w:t>
            </w:r>
            <w:r w:rsidR="00C6116F">
              <w:rPr>
                <w:szCs w:val="24"/>
              </w:rPr>
              <w:t xml:space="preserve"> three </w:t>
            </w:r>
            <w:r w:rsidR="00246C87">
              <w:rPr>
                <w:szCs w:val="24"/>
              </w:rPr>
              <w:t>students.  The students need to follow the template (see attached to the syllabus and copy of it has been mailed to students) to write their paper.</w:t>
            </w:r>
            <w:r w:rsidR="00A00290">
              <w:rPr>
                <w:szCs w:val="24"/>
              </w:rPr>
              <w:t xml:space="preserve">  </w:t>
            </w:r>
            <w:r w:rsidR="00C6116F">
              <w:rPr>
                <w:szCs w:val="24"/>
              </w:rPr>
              <w:lastRenderedPageBreak/>
              <w:t>Remember, t</w:t>
            </w:r>
            <w:r w:rsidR="00535B6D">
              <w:rPr>
                <w:szCs w:val="24"/>
              </w:rPr>
              <w:t>his will count 2</w:t>
            </w:r>
            <w:r w:rsidR="00A00290">
              <w:rPr>
                <w:szCs w:val="24"/>
              </w:rPr>
              <w:t>0% of the grade</w:t>
            </w:r>
            <w:r w:rsidR="00693C47">
              <w:rPr>
                <w:szCs w:val="24"/>
              </w:rPr>
              <w:t>.</w:t>
            </w:r>
          </w:p>
        </w:tc>
      </w:tr>
      <w:tr w:rsidR="00CE48DE">
        <w:trPr>
          <w:tblCellSpacing w:w="15" w:type="dxa"/>
        </w:trPr>
        <w:tc>
          <w:tcPr>
            <w:tcW w:w="8820" w:type="dxa"/>
            <w:shd w:val="clear" w:color="auto" w:fill="E1D4FF"/>
            <w:vAlign w:val="center"/>
          </w:tcPr>
          <w:p w:rsidR="00CE48DE" w:rsidRDefault="00CE48DE">
            <w:pPr>
              <w:rPr>
                <w:szCs w:val="24"/>
              </w:rPr>
            </w:pPr>
            <w:r>
              <w:rPr>
                <w:color w:val="660000"/>
              </w:rPr>
              <w:lastRenderedPageBreak/>
              <w:t>Course Goals</w:t>
            </w:r>
          </w:p>
        </w:tc>
      </w:tr>
      <w:tr w:rsidR="00CE48DE">
        <w:trPr>
          <w:tblCellSpacing w:w="15" w:type="dxa"/>
        </w:trPr>
        <w:tc>
          <w:tcPr>
            <w:tcW w:w="8820" w:type="dxa"/>
            <w:shd w:val="clear" w:color="auto" w:fill="FFFFFF"/>
            <w:vAlign w:val="center"/>
          </w:tcPr>
          <w:p w:rsidR="00CE48DE" w:rsidRDefault="00CE48DE">
            <w:pPr>
              <w:pStyle w:val="NormalWeb"/>
              <w:spacing w:line="195" w:lineRule="atLeast"/>
              <w:jc w:val="both"/>
            </w:pPr>
            <w:r>
              <w:t>The goals of this course are to teach students basic principles and applications of current refining processes, the relations of physical and chemical properties of oil products to the over all process orations, current methodologies if refining processes, physical properties data (flow, temperature, pressure, and level) collection and quality of process determination.</w:t>
            </w:r>
            <w:r w:rsidR="001C3DFB">
              <w:t xml:space="preserve">  Additional topics will be: crude oil characteristics, distillation, vacuum flashing, the chemistry of petroleum, cat cracking, refining gas plants, alkylation, catalytic re</w:t>
            </w:r>
            <w:r w:rsidR="001A391A">
              <w:t>covery, residue reduction, hydro-cracking</w:t>
            </w:r>
            <w:r w:rsidR="001C3DFB">
              <w:t>, gasoline production, asphalt residue fuel, hydro</w:t>
            </w:r>
            <w:r w:rsidR="001A391A">
              <w:t>-</w:t>
            </w:r>
            <w:r w:rsidR="001C3DFB">
              <w:t>treating and hydrogen recovery, MTBE, ethyl plants, and LNG.  Other topics that will be covered are: separation processes and sulfur compounds</w:t>
            </w:r>
            <w:r w:rsidR="007D22D8">
              <w:t xml:space="preserve">, organic compounds (benzene, toluene, polymers, olefins, </w:t>
            </w:r>
            <w:proofErr w:type="spellStart"/>
            <w:r w:rsidR="007D22D8">
              <w:t>paraffins</w:t>
            </w:r>
            <w:proofErr w:type="spellEnd"/>
            <w:r w:rsidR="007D22D8">
              <w:t>, resins and epoxy material, and solvents</w:t>
            </w:r>
            <w:r w:rsidR="001C3DFB">
              <w:t>.</w:t>
            </w:r>
          </w:p>
        </w:tc>
      </w:tr>
      <w:tr w:rsidR="00CE48DE">
        <w:trPr>
          <w:tblCellSpacing w:w="15" w:type="dxa"/>
        </w:trPr>
        <w:tc>
          <w:tcPr>
            <w:tcW w:w="8820" w:type="dxa"/>
            <w:shd w:val="clear" w:color="auto" w:fill="E1D4FF"/>
            <w:vAlign w:val="center"/>
          </w:tcPr>
          <w:p w:rsidR="00CE48DE" w:rsidRDefault="006D5ADC">
            <w:pPr>
              <w:rPr>
                <w:szCs w:val="24"/>
              </w:rPr>
            </w:pPr>
            <w:r>
              <w:rPr>
                <w:color w:val="660000"/>
              </w:rPr>
              <w:t xml:space="preserve">Tentative </w:t>
            </w:r>
            <w:r w:rsidR="00CE48DE">
              <w:rPr>
                <w:color w:val="660000"/>
              </w:rPr>
              <w:t>Course Calendar with Reading Assignments</w:t>
            </w:r>
          </w:p>
        </w:tc>
      </w:tr>
      <w:tr w:rsidR="00CE48DE">
        <w:trPr>
          <w:tblCellSpacing w:w="15" w:type="dxa"/>
        </w:trPr>
        <w:tc>
          <w:tcPr>
            <w:tcW w:w="8820" w:type="dxa"/>
            <w:shd w:val="clear" w:color="auto" w:fill="FFFFFF"/>
            <w:vAlign w:val="center"/>
          </w:tcPr>
          <w:p w:rsidR="001A391A" w:rsidRDefault="006D5ADC" w:rsidP="00C6116F">
            <w:pPr>
              <w:pStyle w:val="ListParagraph"/>
              <w:rPr>
                <w:szCs w:val="24"/>
              </w:rPr>
            </w:pPr>
            <w:r>
              <w:rPr>
                <w:szCs w:val="24"/>
              </w:rPr>
              <w:t>Week 1  Introductions and Evolution of Petroleum Refining</w:t>
            </w:r>
          </w:p>
          <w:p w:rsidR="006D5ADC" w:rsidRDefault="006D5ADC" w:rsidP="00C6116F">
            <w:pPr>
              <w:pStyle w:val="ListParagraph"/>
              <w:rPr>
                <w:szCs w:val="24"/>
              </w:rPr>
            </w:pPr>
            <w:r>
              <w:rPr>
                <w:szCs w:val="24"/>
              </w:rPr>
              <w:t>Week 2  Refineries (cont.)</w:t>
            </w:r>
          </w:p>
          <w:p w:rsidR="006D5ADC" w:rsidRPr="006D5ADC" w:rsidRDefault="006D5ADC" w:rsidP="006D5ADC">
            <w:pPr>
              <w:pStyle w:val="ListParagraph"/>
              <w:rPr>
                <w:szCs w:val="24"/>
              </w:rPr>
            </w:pPr>
            <w:r>
              <w:rPr>
                <w:szCs w:val="24"/>
              </w:rPr>
              <w:t>Week 3  Crude Oil Characteristics</w:t>
            </w:r>
          </w:p>
          <w:p w:rsidR="006D5ADC" w:rsidRDefault="006D5ADC" w:rsidP="00C6116F">
            <w:pPr>
              <w:pStyle w:val="ListParagraph"/>
              <w:rPr>
                <w:szCs w:val="24"/>
              </w:rPr>
            </w:pPr>
            <w:r>
              <w:rPr>
                <w:szCs w:val="24"/>
              </w:rPr>
              <w:t>Week 4  Distillation</w:t>
            </w:r>
          </w:p>
          <w:p w:rsidR="006D5ADC" w:rsidRDefault="006D5ADC" w:rsidP="00C6116F">
            <w:pPr>
              <w:pStyle w:val="ListParagraph"/>
              <w:rPr>
                <w:szCs w:val="24"/>
              </w:rPr>
            </w:pPr>
            <w:r>
              <w:rPr>
                <w:szCs w:val="24"/>
              </w:rPr>
              <w:t>Week 5  Test I</w:t>
            </w:r>
          </w:p>
          <w:p w:rsidR="006D5ADC" w:rsidRDefault="006D5ADC" w:rsidP="00C6116F">
            <w:pPr>
              <w:pStyle w:val="ListParagraph"/>
              <w:rPr>
                <w:szCs w:val="24"/>
              </w:rPr>
            </w:pPr>
            <w:r>
              <w:rPr>
                <w:szCs w:val="24"/>
              </w:rPr>
              <w:t>Week 6  Vacuum Flashing and Chemistry of Petroleum</w:t>
            </w:r>
          </w:p>
          <w:p w:rsidR="006D5ADC" w:rsidRDefault="006D5ADC" w:rsidP="00C6116F">
            <w:pPr>
              <w:pStyle w:val="ListParagraph"/>
              <w:rPr>
                <w:szCs w:val="24"/>
              </w:rPr>
            </w:pPr>
            <w:r>
              <w:rPr>
                <w:szCs w:val="24"/>
              </w:rPr>
              <w:t>Week 7  Gas Plants and Cat Cracking</w:t>
            </w:r>
          </w:p>
          <w:p w:rsidR="006D5ADC" w:rsidRDefault="006D5ADC" w:rsidP="00C6116F">
            <w:pPr>
              <w:pStyle w:val="ListParagraph"/>
              <w:rPr>
                <w:szCs w:val="24"/>
              </w:rPr>
            </w:pPr>
            <w:r>
              <w:rPr>
                <w:szCs w:val="24"/>
              </w:rPr>
              <w:t>Week 8  Alkylation</w:t>
            </w:r>
          </w:p>
          <w:p w:rsidR="006D5ADC" w:rsidRDefault="006D5ADC" w:rsidP="00C6116F">
            <w:pPr>
              <w:pStyle w:val="ListParagraph"/>
              <w:rPr>
                <w:szCs w:val="24"/>
              </w:rPr>
            </w:pPr>
            <w:r>
              <w:rPr>
                <w:szCs w:val="24"/>
              </w:rPr>
              <w:t>Week 9 Test II</w:t>
            </w:r>
          </w:p>
          <w:p w:rsidR="006D5ADC" w:rsidRDefault="006D5ADC" w:rsidP="00C6116F">
            <w:pPr>
              <w:pStyle w:val="ListParagraph"/>
              <w:rPr>
                <w:szCs w:val="24"/>
              </w:rPr>
            </w:pPr>
            <w:r>
              <w:rPr>
                <w:szCs w:val="24"/>
              </w:rPr>
              <w:t xml:space="preserve">Week 10 Cat Reforming and Hydro-cracking </w:t>
            </w:r>
          </w:p>
          <w:p w:rsidR="006D5ADC" w:rsidRPr="006D5ADC" w:rsidRDefault="006D5ADC" w:rsidP="006D5ADC">
            <w:pPr>
              <w:pStyle w:val="ListParagraph"/>
              <w:rPr>
                <w:szCs w:val="24"/>
              </w:rPr>
            </w:pPr>
            <w:r>
              <w:rPr>
                <w:szCs w:val="24"/>
              </w:rPr>
              <w:t xml:space="preserve">Week 11  </w:t>
            </w:r>
            <w:proofErr w:type="spellStart"/>
            <w:r>
              <w:rPr>
                <w:szCs w:val="24"/>
              </w:rPr>
              <w:t>Isomerization</w:t>
            </w:r>
            <w:proofErr w:type="spellEnd"/>
            <w:r>
              <w:rPr>
                <w:szCs w:val="24"/>
              </w:rPr>
              <w:t xml:space="preserve"> and Residue Reduction</w:t>
            </w:r>
          </w:p>
          <w:p w:rsidR="006D5ADC" w:rsidRDefault="006D5ADC" w:rsidP="00C6116F">
            <w:pPr>
              <w:pStyle w:val="ListParagraph"/>
              <w:rPr>
                <w:szCs w:val="24"/>
              </w:rPr>
            </w:pPr>
            <w:r>
              <w:rPr>
                <w:szCs w:val="24"/>
              </w:rPr>
              <w:t>Week 12  Test III</w:t>
            </w:r>
          </w:p>
          <w:p w:rsidR="006D5ADC" w:rsidRDefault="006D5ADC" w:rsidP="00C6116F">
            <w:pPr>
              <w:pStyle w:val="ListParagraph"/>
              <w:rPr>
                <w:szCs w:val="24"/>
              </w:rPr>
            </w:pPr>
            <w:r>
              <w:rPr>
                <w:szCs w:val="24"/>
              </w:rPr>
              <w:t>Week 13  Gasoline and Distillate and Residual Fuels</w:t>
            </w:r>
          </w:p>
          <w:p w:rsidR="006D5ADC" w:rsidRDefault="006D5ADC" w:rsidP="00C6116F">
            <w:pPr>
              <w:pStyle w:val="ListParagraph"/>
              <w:rPr>
                <w:szCs w:val="24"/>
              </w:rPr>
            </w:pPr>
            <w:r>
              <w:rPr>
                <w:szCs w:val="24"/>
              </w:rPr>
              <w:t>Week 14  Hydrogen, Hydro-treating and Sulfur Plants</w:t>
            </w:r>
          </w:p>
          <w:p w:rsidR="006D5ADC" w:rsidRDefault="006D5ADC" w:rsidP="00C6116F">
            <w:pPr>
              <w:pStyle w:val="ListParagraph"/>
              <w:rPr>
                <w:szCs w:val="24"/>
              </w:rPr>
            </w:pPr>
            <w:r>
              <w:rPr>
                <w:szCs w:val="24"/>
              </w:rPr>
              <w:t>Week 15  Asphalts</w:t>
            </w:r>
          </w:p>
          <w:p w:rsidR="006D5ADC" w:rsidRPr="007D22D8" w:rsidRDefault="006D5ADC" w:rsidP="00C6116F">
            <w:pPr>
              <w:pStyle w:val="ListParagraph"/>
              <w:rPr>
                <w:szCs w:val="24"/>
              </w:rPr>
            </w:pPr>
            <w:r>
              <w:rPr>
                <w:szCs w:val="24"/>
              </w:rPr>
              <w:t>Week 16  Test IV and Project Due</w:t>
            </w:r>
          </w:p>
        </w:tc>
      </w:tr>
      <w:tr w:rsidR="00CE48DE">
        <w:trPr>
          <w:tblCellSpacing w:w="15" w:type="dxa"/>
        </w:trPr>
        <w:tc>
          <w:tcPr>
            <w:tcW w:w="8820" w:type="dxa"/>
            <w:shd w:val="clear" w:color="auto" w:fill="E1D4FF"/>
            <w:vAlign w:val="center"/>
          </w:tcPr>
          <w:p w:rsidR="00CE48DE" w:rsidRDefault="00CE48DE">
            <w:pPr>
              <w:rPr>
                <w:szCs w:val="24"/>
              </w:rPr>
            </w:pPr>
          </w:p>
        </w:tc>
      </w:tr>
    </w:tbl>
    <w:p w:rsidR="00DA657E" w:rsidRDefault="007D22D8" w:rsidP="00584120">
      <w:pPr>
        <w:autoSpaceDE w:val="0"/>
        <w:autoSpaceDN w:val="0"/>
        <w:adjustRightInd w:val="0"/>
      </w:pPr>
      <w:r>
        <w:t xml:space="preserve">Tutoring and other assistance is available to all students.  Library and computer services are currently available in the library of the college; related literature in currently available to all </w:t>
      </w:r>
    </w:p>
    <w:p w:rsidR="00584120" w:rsidRDefault="007D22D8" w:rsidP="00584120">
      <w:pPr>
        <w:autoSpaceDE w:val="0"/>
        <w:autoSpaceDN w:val="0"/>
        <w:adjustRightInd w:val="0"/>
        <w:rPr>
          <w:rFonts w:ascii="Arial" w:hAnsi="Arial" w:cs="Arial"/>
          <w:b/>
          <w:bCs/>
          <w:color w:val="000000"/>
          <w:sz w:val="32"/>
          <w:szCs w:val="32"/>
        </w:rPr>
      </w:pPr>
      <w:proofErr w:type="gramStart"/>
      <w:r>
        <w:t>students</w:t>
      </w:r>
      <w:proofErr w:type="gramEnd"/>
      <w:r>
        <w:t xml:space="preserve"> in the library.</w:t>
      </w:r>
      <w:r w:rsidR="00584120" w:rsidRPr="00584120">
        <w:rPr>
          <w:rFonts w:ascii="Arial" w:hAnsi="Arial" w:cs="Arial"/>
          <w:b/>
          <w:bCs/>
          <w:color w:val="000000"/>
          <w:sz w:val="32"/>
          <w:szCs w:val="32"/>
        </w:rPr>
        <w:t xml:space="preserve"> </w:t>
      </w:r>
    </w:p>
    <w:p w:rsidR="00DA657E" w:rsidRDefault="00DA657E" w:rsidP="00DA657E">
      <w:pPr>
        <w:pStyle w:val="Default"/>
      </w:pPr>
    </w:p>
    <w:sectPr w:rsidR="00DA657E" w:rsidSect="00DA657E">
      <w:pgSz w:w="12240" w:h="15840"/>
      <w:pgMar w:top="1440" w:right="180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04021"/>
    <w:multiLevelType w:val="hybridMultilevel"/>
    <w:tmpl w:val="CC383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8D066B"/>
    <w:multiLevelType w:val="hybridMultilevel"/>
    <w:tmpl w:val="9F8E9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B025D1"/>
    <w:multiLevelType w:val="hybridMultilevel"/>
    <w:tmpl w:val="DDA4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13663"/>
    <w:multiLevelType w:val="hybridMultilevel"/>
    <w:tmpl w:val="7292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1711DA"/>
    <w:multiLevelType w:val="hybridMultilevel"/>
    <w:tmpl w:val="B1B020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163679"/>
    <w:multiLevelType w:val="hybridMultilevel"/>
    <w:tmpl w:val="1CA0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120B26"/>
    <w:rsid w:val="000949BE"/>
    <w:rsid w:val="000C39CD"/>
    <w:rsid w:val="000D7253"/>
    <w:rsid w:val="00120B26"/>
    <w:rsid w:val="001A391A"/>
    <w:rsid w:val="001C3DFB"/>
    <w:rsid w:val="002307B3"/>
    <w:rsid w:val="00246C87"/>
    <w:rsid w:val="002F5F19"/>
    <w:rsid w:val="00380A3D"/>
    <w:rsid w:val="0039100D"/>
    <w:rsid w:val="004A1D8B"/>
    <w:rsid w:val="004E32BC"/>
    <w:rsid w:val="004F719F"/>
    <w:rsid w:val="00535B6D"/>
    <w:rsid w:val="00584120"/>
    <w:rsid w:val="005A18CA"/>
    <w:rsid w:val="00693C47"/>
    <w:rsid w:val="006D5ADC"/>
    <w:rsid w:val="006E7140"/>
    <w:rsid w:val="0075273D"/>
    <w:rsid w:val="007D22D8"/>
    <w:rsid w:val="00A00290"/>
    <w:rsid w:val="00A326B9"/>
    <w:rsid w:val="00AD1332"/>
    <w:rsid w:val="00B21158"/>
    <w:rsid w:val="00C6116F"/>
    <w:rsid w:val="00CE48DE"/>
    <w:rsid w:val="00DA657E"/>
    <w:rsid w:val="00DB39F4"/>
    <w:rsid w:val="00EC7388"/>
    <w:rsid w:val="00F310FB"/>
    <w:rsid w:val="00F776BA"/>
    <w:rsid w:val="00FD1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158"/>
    <w:rPr>
      <w:sz w:val="24"/>
    </w:rPr>
  </w:style>
  <w:style w:type="paragraph" w:styleId="Heading1">
    <w:name w:val="heading 1"/>
    <w:basedOn w:val="Normal"/>
    <w:qFormat/>
    <w:rsid w:val="00B21158"/>
    <w:pPr>
      <w:spacing w:before="100" w:beforeAutospacing="1" w:after="100" w:afterAutospacing="1"/>
      <w:outlineLvl w:val="0"/>
    </w:pPr>
    <w:rPr>
      <w:b/>
      <w:bCs/>
      <w:kern w:val="36"/>
      <w:sz w:val="48"/>
      <w:szCs w:val="48"/>
    </w:rPr>
  </w:style>
  <w:style w:type="paragraph" w:styleId="Heading2">
    <w:name w:val="heading 2"/>
    <w:basedOn w:val="Normal"/>
    <w:next w:val="Normal"/>
    <w:qFormat/>
    <w:rsid w:val="00B21158"/>
    <w:pPr>
      <w:keepNext/>
      <w:outlineLvl w:val="1"/>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ybody">
    <w:name w:val="mybody"/>
    <w:basedOn w:val="DefaultParagraphFont"/>
    <w:rsid w:val="00B21158"/>
  </w:style>
  <w:style w:type="character" w:styleId="Hyperlink">
    <w:name w:val="Hyperlink"/>
    <w:basedOn w:val="DefaultParagraphFont"/>
    <w:rsid w:val="00B21158"/>
    <w:rPr>
      <w:color w:val="0000FF"/>
      <w:u w:val="single"/>
    </w:rPr>
  </w:style>
  <w:style w:type="paragraph" w:styleId="NormalWeb">
    <w:name w:val="Normal (Web)"/>
    <w:basedOn w:val="Normal"/>
    <w:uiPriority w:val="99"/>
    <w:rsid w:val="00B21158"/>
    <w:pPr>
      <w:spacing w:before="100" w:beforeAutospacing="1" w:after="100" w:afterAutospacing="1"/>
    </w:pPr>
    <w:rPr>
      <w:szCs w:val="24"/>
    </w:rPr>
  </w:style>
  <w:style w:type="character" w:customStyle="1" w:styleId="myindexhead">
    <w:name w:val="myindexhead"/>
    <w:basedOn w:val="DefaultParagraphFont"/>
    <w:rsid w:val="00B21158"/>
  </w:style>
  <w:style w:type="paragraph" w:styleId="BodyText">
    <w:name w:val="Body Text"/>
    <w:basedOn w:val="Normal"/>
    <w:rsid w:val="00B21158"/>
    <w:pPr>
      <w:spacing w:before="100" w:beforeAutospacing="1" w:after="100" w:afterAutospacing="1"/>
    </w:pPr>
    <w:rPr>
      <w:szCs w:val="24"/>
    </w:rPr>
  </w:style>
  <w:style w:type="character" w:customStyle="1" w:styleId="text101">
    <w:name w:val="text101"/>
    <w:basedOn w:val="DefaultParagraphFont"/>
    <w:rsid w:val="000C39CD"/>
    <w:rPr>
      <w:sz w:val="20"/>
      <w:szCs w:val="20"/>
    </w:rPr>
  </w:style>
  <w:style w:type="paragraph" w:styleId="ListParagraph">
    <w:name w:val="List Paragraph"/>
    <w:basedOn w:val="Normal"/>
    <w:uiPriority w:val="34"/>
    <w:qFormat/>
    <w:rsid w:val="007D22D8"/>
    <w:pPr>
      <w:ind w:left="720"/>
      <w:contextualSpacing/>
    </w:pPr>
  </w:style>
  <w:style w:type="paragraph" w:customStyle="1" w:styleId="Default">
    <w:name w:val="Default"/>
    <w:rsid w:val="00C6116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galiotos@hcc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Disciplines | Course Descriptions</vt:lpstr>
    </vt:vector>
  </TitlesOfParts>
  <Company>Chemical, Process, &amp; Bio Technologies Programs</Company>
  <LinksUpToDate>false</LinksUpToDate>
  <CharactersWithSpaces>9203</CharactersWithSpaces>
  <SharedDoc>false</SharedDoc>
  <HLinks>
    <vt:vector size="6" baseType="variant">
      <vt:variant>
        <vt:i4>117</vt:i4>
      </vt:variant>
      <vt:variant>
        <vt:i4>0</vt:i4>
      </vt:variant>
      <vt:variant>
        <vt:i4>0</vt:i4>
      </vt:variant>
      <vt:variant>
        <vt:i4>5</vt:i4>
      </vt:variant>
      <vt:variant>
        <vt:lpwstr>mailto:john.galiotos@hccs.edu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Disciplines | Course Descriptions</dc:title>
  <dc:creator>Houston Community College HCC</dc:creator>
  <cp:lastModifiedBy>John Galiotos</cp:lastModifiedBy>
  <cp:revision>2</cp:revision>
  <cp:lastPrinted>2004-02-02T19:50:00Z</cp:lastPrinted>
  <dcterms:created xsi:type="dcterms:W3CDTF">2011-08-28T06:13:00Z</dcterms:created>
  <dcterms:modified xsi:type="dcterms:W3CDTF">2011-08-28T06:13:00Z</dcterms:modified>
</cp:coreProperties>
</file>