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50B3" w:rsidRPr="00CA50B3" w:rsidRDefault="00CA50B3" w:rsidP="00CA50B3">
      <w:pPr>
        <w:spacing w:after="0" w:line="240" w:lineRule="auto"/>
        <w:rPr>
          <w:rFonts w:ascii="Museo Sans" w:eastAsia="Times New Roman" w:hAnsi="Museo Sans" w:cs="Times New Roman"/>
          <w:color w:val="333F48"/>
          <w:sz w:val="24"/>
          <w:szCs w:val="24"/>
        </w:rPr>
      </w:pPr>
      <w:r w:rsidRPr="00CA50B3">
        <w:rPr>
          <w:rFonts w:ascii="Museo Sans" w:eastAsia="Times New Roman" w:hAnsi="Museo Sans" w:cs="Times New Roman"/>
          <w:color w:val="333F48"/>
          <w:sz w:val="24"/>
          <w:szCs w:val="24"/>
        </w:rPr>
        <w:fldChar w:fldCharType="begin"/>
      </w:r>
      <w:r w:rsidRPr="00CA50B3">
        <w:rPr>
          <w:rFonts w:ascii="Museo Sans" w:eastAsia="Times New Roman" w:hAnsi="Museo Sans" w:cs="Times New Roman"/>
          <w:color w:val="333F48"/>
          <w:sz w:val="24"/>
          <w:szCs w:val="24"/>
        </w:rPr>
        <w:instrText xml:space="preserve"> HYPERLINK "https://www.eab.com/daily-briefing" </w:instrText>
      </w:r>
      <w:r w:rsidRPr="00CA50B3">
        <w:rPr>
          <w:rFonts w:ascii="Museo Sans" w:eastAsia="Times New Roman" w:hAnsi="Museo Sans" w:cs="Times New Roman"/>
          <w:color w:val="333F48"/>
          <w:sz w:val="24"/>
          <w:szCs w:val="24"/>
        </w:rPr>
        <w:fldChar w:fldCharType="separate"/>
      </w:r>
      <w:r w:rsidRPr="00CA50B3">
        <w:rPr>
          <w:rFonts w:ascii="Museo Sans" w:eastAsia="Times New Roman" w:hAnsi="Museo Sans" w:cs="Times New Roman"/>
          <w:color w:val="0072CE"/>
          <w:sz w:val="24"/>
          <w:szCs w:val="24"/>
        </w:rPr>
        <w:t>EAB Daily Briefing</w:t>
      </w:r>
      <w:r w:rsidRPr="00CA50B3">
        <w:rPr>
          <w:rFonts w:ascii="Museo Sans" w:eastAsia="Times New Roman" w:hAnsi="Museo Sans" w:cs="Times New Roman"/>
          <w:color w:val="333F48"/>
          <w:sz w:val="24"/>
          <w:szCs w:val="24"/>
        </w:rPr>
        <w:fldChar w:fldCharType="end"/>
      </w:r>
      <w:r w:rsidRPr="00CA50B3">
        <w:rPr>
          <w:rFonts w:ascii="Museo Sans" w:eastAsia="Times New Roman" w:hAnsi="Museo Sans" w:cs="Times New Roman"/>
          <w:color w:val="333F48"/>
          <w:sz w:val="24"/>
          <w:szCs w:val="24"/>
        </w:rPr>
        <w:t xml:space="preserve"> </w:t>
      </w:r>
    </w:p>
    <w:p w:rsidR="00CA50B3" w:rsidRPr="00CA50B3" w:rsidRDefault="00CA50B3" w:rsidP="00CA50B3">
      <w:pPr>
        <w:spacing w:after="133" w:line="240" w:lineRule="auto"/>
        <w:outlineLvl w:val="1"/>
        <w:rPr>
          <w:rFonts w:ascii="Museo Slab" w:eastAsia="Times New Roman" w:hAnsi="Museo Slab" w:cs="Times New Roman"/>
          <w:color w:val="333F48"/>
          <w:kern w:val="36"/>
          <w:sz w:val="78"/>
          <w:szCs w:val="78"/>
        </w:rPr>
      </w:pPr>
      <w:r w:rsidRPr="00CA50B3">
        <w:rPr>
          <w:rFonts w:ascii="Museo Slab" w:eastAsia="Times New Roman" w:hAnsi="Museo Slab" w:cs="Times New Roman"/>
          <w:color w:val="333F48"/>
          <w:kern w:val="36"/>
          <w:sz w:val="78"/>
          <w:szCs w:val="78"/>
        </w:rPr>
        <w:t xml:space="preserve">Revised data show community colleges deserve more credit for student success </w:t>
      </w:r>
    </w:p>
    <w:p w:rsidR="00CA50B3" w:rsidRPr="00CA50B3" w:rsidRDefault="00CA50B3" w:rsidP="00CA50B3">
      <w:pPr>
        <w:spacing w:after="0" w:line="240" w:lineRule="auto"/>
        <w:rPr>
          <w:rFonts w:ascii="Museo Sans" w:eastAsia="Times New Roman" w:hAnsi="Museo Sans" w:cs="Times New Roman"/>
          <w:color w:val="333F48"/>
          <w:sz w:val="24"/>
          <w:szCs w:val="24"/>
        </w:rPr>
      </w:pPr>
      <w:r w:rsidRPr="00CA50B3">
        <w:rPr>
          <w:rFonts w:ascii="Museo Sans" w:eastAsia="Times New Roman" w:hAnsi="Museo Sans" w:cs="Times New Roman"/>
          <w:color w:val="333F48"/>
          <w:sz w:val="24"/>
          <w:szCs w:val="24"/>
        </w:rPr>
        <w:t xml:space="preserve">8:12 AM - November 7, 2017 </w:t>
      </w:r>
    </w:p>
    <w:p w:rsidR="00CA50B3" w:rsidRDefault="00CA50B3" w:rsidP="00CA50B3">
      <w:pPr>
        <w:spacing w:after="300" w:line="330" w:lineRule="atLeast"/>
        <w:rPr>
          <w:rFonts w:ascii="Museo Sans" w:eastAsia="Times New Roman" w:hAnsi="Museo Sans" w:cs="Times New Roman"/>
          <w:color w:val="333F48"/>
          <w:sz w:val="27"/>
          <w:szCs w:val="27"/>
        </w:rPr>
      </w:pPr>
    </w:p>
    <w:p w:rsidR="00CA50B3" w:rsidRPr="00CA50B3" w:rsidRDefault="00CA50B3" w:rsidP="00CA50B3">
      <w:pPr>
        <w:spacing w:after="300" w:line="330" w:lineRule="atLeast"/>
        <w:rPr>
          <w:rFonts w:ascii="Museo Sans" w:eastAsia="Times New Roman" w:hAnsi="Museo Sans" w:cs="Times New Roman"/>
          <w:color w:val="333F48"/>
          <w:sz w:val="27"/>
          <w:szCs w:val="27"/>
        </w:rPr>
      </w:pPr>
      <w:r w:rsidRPr="00CA50B3">
        <w:rPr>
          <w:rFonts w:ascii="Museo Sans" w:eastAsia="Times New Roman" w:hAnsi="Museo Sans" w:cs="Times New Roman"/>
          <w:color w:val="333F48"/>
          <w:sz w:val="27"/>
          <w:szCs w:val="27"/>
        </w:rPr>
        <w:t xml:space="preserve">Community colleges have long been criticized for low graduation rates, but the </w:t>
      </w:r>
      <w:r w:rsidRPr="00CA50B3">
        <w:rPr>
          <w:rFonts w:ascii="Museo Sans" w:eastAsia="Times New Roman" w:hAnsi="Museo Sans" w:cs="Times New Roman"/>
          <w:b/>
          <w:bCs/>
          <w:color w:val="333F48"/>
          <w:sz w:val="27"/>
          <w:szCs w:val="27"/>
        </w:rPr>
        <w:t>Department of Education</w:t>
      </w:r>
      <w:r w:rsidRPr="00CA50B3">
        <w:rPr>
          <w:rFonts w:ascii="Museo Sans" w:eastAsia="Times New Roman" w:hAnsi="Museo Sans" w:cs="Times New Roman"/>
          <w:color w:val="333F48"/>
          <w:sz w:val="27"/>
          <w:szCs w:val="27"/>
        </w:rPr>
        <w:t>'s newly revised graduation rate model suggests that two-</w:t>
      </w:r>
      <w:proofErr w:type="gramStart"/>
      <w:r w:rsidRPr="00CA50B3">
        <w:rPr>
          <w:rFonts w:ascii="Museo Sans" w:eastAsia="Times New Roman" w:hAnsi="Museo Sans" w:cs="Times New Roman"/>
          <w:color w:val="333F48"/>
          <w:sz w:val="27"/>
          <w:szCs w:val="27"/>
        </w:rPr>
        <w:t>year</w:t>
      </w:r>
      <w:proofErr w:type="gramEnd"/>
      <w:r w:rsidRPr="00CA50B3">
        <w:rPr>
          <w:rFonts w:ascii="Museo Sans" w:eastAsia="Times New Roman" w:hAnsi="Museo Sans" w:cs="Times New Roman"/>
          <w:color w:val="333F48"/>
          <w:sz w:val="27"/>
          <w:szCs w:val="27"/>
        </w:rPr>
        <w:t xml:space="preserve"> institutions deserve more credit for student success, Kevin Carey reports for the </w:t>
      </w:r>
      <w:r w:rsidRPr="00CA50B3">
        <w:rPr>
          <w:rFonts w:ascii="Museo Sans" w:eastAsia="Times New Roman" w:hAnsi="Museo Sans" w:cs="Times New Roman"/>
          <w:i/>
          <w:iCs/>
          <w:color w:val="333F48"/>
          <w:sz w:val="27"/>
          <w:szCs w:val="27"/>
        </w:rPr>
        <w:t>New York Times</w:t>
      </w:r>
      <w:r w:rsidRPr="00CA50B3">
        <w:rPr>
          <w:rFonts w:ascii="Museo Sans" w:eastAsia="Times New Roman" w:hAnsi="Museo Sans" w:cs="Times New Roman"/>
          <w:color w:val="333F48"/>
          <w:sz w:val="27"/>
          <w:szCs w:val="27"/>
        </w:rPr>
        <w:t>.</w:t>
      </w:r>
    </w:p>
    <w:p w:rsidR="00CA50B3" w:rsidRPr="00CA50B3" w:rsidRDefault="00CA50B3" w:rsidP="00CA50B3">
      <w:pPr>
        <w:spacing w:after="300" w:line="330" w:lineRule="atLeast"/>
        <w:rPr>
          <w:rFonts w:ascii="Museo Sans" w:eastAsia="Times New Roman" w:hAnsi="Museo Sans" w:cs="Times New Roman"/>
          <w:color w:val="333F48"/>
          <w:sz w:val="27"/>
          <w:szCs w:val="27"/>
        </w:rPr>
      </w:pPr>
      <w:r w:rsidRPr="00CA50B3">
        <w:rPr>
          <w:rFonts w:ascii="Museo Sans" w:eastAsia="Times New Roman" w:hAnsi="Museo Sans" w:cs="Times New Roman"/>
          <w:color w:val="333F48"/>
          <w:sz w:val="27"/>
          <w:szCs w:val="27"/>
        </w:rPr>
        <w:t xml:space="preserve">The previous community college graduation rate only measured the percentage of first-time, full-time students who graduated from the institution they started at within three years, Carey writes. </w:t>
      </w:r>
    </w:p>
    <w:p w:rsidR="00CA50B3" w:rsidRPr="00CA50B3" w:rsidRDefault="00CA50B3" w:rsidP="00CA50B3">
      <w:pPr>
        <w:spacing w:after="300" w:line="330" w:lineRule="atLeast"/>
        <w:rPr>
          <w:rFonts w:ascii="Museo Sans" w:eastAsia="Times New Roman" w:hAnsi="Museo Sans" w:cs="Times New Roman"/>
          <w:color w:val="333F48"/>
          <w:sz w:val="27"/>
          <w:szCs w:val="27"/>
        </w:rPr>
      </w:pPr>
      <w:r w:rsidRPr="00CA50B3">
        <w:rPr>
          <w:rFonts w:ascii="Museo Sans" w:eastAsia="Times New Roman" w:hAnsi="Museo Sans" w:cs="Times New Roman"/>
          <w:color w:val="333F48"/>
          <w:sz w:val="27"/>
          <w:szCs w:val="27"/>
        </w:rPr>
        <w:t>The old set of rules favored four-year institutions where the average undergraduate is first-time, full-time student and a recent high school grad, he argues. Most community colleges, however, support learners who work or parent or are re-enrollees. Many community college students also enroll part-time, take longer than three years to graduate, or transfer to a four-year institution, he adds.</w:t>
      </w:r>
    </w:p>
    <w:p w:rsidR="00CA50B3" w:rsidRPr="00CA50B3" w:rsidRDefault="00CA50B3" w:rsidP="00CA50B3">
      <w:pPr>
        <w:spacing w:after="300" w:line="330" w:lineRule="atLeast"/>
        <w:rPr>
          <w:rFonts w:ascii="Museo Sans" w:eastAsia="Times New Roman" w:hAnsi="Museo Sans" w:cs="Times New Roman"/>
          <w:color w:val="333F48"/>
          <w:sz w:val="27"/>
          <w:szCs w:val="27"/>
        </w:rPr>
      </w:pPr>
      <w:r w:rsidRPr="00CA50B3">
        <w:rPr>
          <w:rFonts w:ascii="Museo Sans" w:eastAsia="Times New Roman" w:hAnsi="Museo Sans" w:cs="Times New Roman"/>
          <w:color w:val="333F48"/>
          <w:sz w:val="27"/>
          <w:szCs w:val="27"/>
        </w:rPr>
        <w:t xml:space="preserve">Under the old model, community colleges had a 20% three-year graduation rate on average across the United States. The low success rates pushed some students towards for-profit institutions that boasted a 63% graduation rate for their two-year programs, Carey writes. </w:t>
      </w:r>
    </w:p>
    <w:p w:rsidR="00CA50B3" w:rsidRPr="00CA50B3" w:rsidRDefault="00CA50B3" w:rsidP="00CA50B3">
      <w:pPr>
        <w:spacing w:after="300" w:line="330" w:lineRule="atLeast"/>
        <w:rPr>
          <w:rFonts w:ascii="Museo Sans" w:eastAsia="Times New Roman" w:hAnsi="Museo Sans" w:cs="Times New Roman"/>
          <w:color w:val="333F48"/>
          <w:sz w:val="27"/>
          <w:szCs w:val="27"/>
        </w:rPr>
      </w:pPr>
      <w:r w:rsidRPr="00CA50B3">
        <w:rPr>
          <w:rFonts w:ascii="Museo Sans" w:eastAsia="Times New Roman" w:hAnsi="Museo Sans" w:cs="Times New Roman"/>
          <w:color w:val="333F48"/>
          <w:sz w:val="27"/>
          <w:szCs w:val="27"/>
        </w:rPr>
        <w:t>To better reflect the experience of the typical community college student, the Department of Education made three key changes to the graduation rate calculation in October: tracking part-time and returning students, extending the graduation rate to eight years, and measuring the number of transfers.</w:t>
      </w:r>
    </w:p>
    <w:p w:rsidR="00CA50B3" w:rsidRPr="00CA50B3" w:rsidRDefault="00CA50B3" w:rsidP="00CA50B3">
      <w:pPr>
        <w:spacing w:after="300" w:line="330" w:lineRule="atLeast"/>
        <w:rPr>
          <w:rFonts w:ascii="Museo Sans" w:eastAsia="Times New Roman" w:hAnsi="Museo Sans" w:cs="Times New Roman"/>
          <w:color w:val="333F48"/>
          <w:sz w:val="27"/>
          <w:szCs w:val="27"/>
        </w:rPr>
      </w:pPr>
      <w:r w:rsidRPr="00CA50B3">
        <w:rPr>
          <w:rFonts w:ascii="Museo Sans" w:eastAsia="Times New Roman" w:hAnsi="Museo Sans" w:cs="Times New Roman"/>
          <w:color w:val="333F48"/>
          <w:sz w:val="27"/>
          <w:szCs w:val="27"/>
        </w:rPr>
        <w:lastRenderedPageBreak/>
        <w:t xml:space="preserve">Now, community colleges boast an average eight-year graduation rate of 27%, and including the percentage of students who transfer bumps the success rate up to a whopping 60%, Carey writes. </w:t>
      </w:r>
    </w:p>
    <w:p w:rsidR="00CA50B3" w:rsidRPr="00CA50B3" w:rsidRDefault="00CA50B3" w:rsidP="00CA50B3">
      <w:pPr>
        <w:spacing w:after="300" w:line="330" w:lineRule="atLeast"/>
        <w:rPr>
          <w:rFonts w:ascii="Museo Sans" w:eastAsia="Times New Roman" w:hAnsi="Museo Sans" w:cs="Times New Roman"/>
          <w:color w:val="333F48"/>
          <w:sz w:val="27"/>
          <w:szCs w:val="27"/>
        </w:rPr>
      </w:pPr>
      <w:r w:rsidRPr="00CA50B3">
        <w:rPr>
          <w:rFonts w:ascii="Museo Sans" w:eastAsia="Times New Roman" w:hAnsi="Museo Sans" w:cs="Times New Roman"/>
          <w:b/>
          <w:bCs/>
          <w:color w:val="333F48"/>
          <w:sz w:val="27"/>
          <w:szCs w:val="27"/>
        </w:rPr>
        <w:t>North Shore Community College</w:t>
      </w:r>
      <w:r w:rsidRPr="00CA50B3">
        <w:rPr>
          <w:rFonts w:ascii="Museo Sans" w:eastAsia="Times New Roman" w:hAnsi="Museo Sans" w:cs="Times New Roman"/>
          <w:color w:val="333F48"/>
          <w:sz w:val="27"/>
          <w:szCs w:val="27"/>
        </w:rPr>
        <w:t xml:space="preserve"> (NSCC), for example, had a 19% graduation rate under the old model. But the new success rate calculations boosted NSCC's graduation rate to 35%—and its combined graduation/transfer rate up to 54%, he writes.</w:t>
      </w:r>
    </w:p>
    <w:p w:rsidR="00CA50B3" w:rsidRPr="00CA50B3" w:rsidRDefault="00CA50B3" w:rsidP="00CA50B3">
      <w:pPr>
        <w:spacing w:after="300" w:line="330" w:lineRule="atLeast"/>
        <w:rPr>
          <w:rFonts w:ascii="Museo Sans" w:eastAsia="Times New Roman" w:hAnsi="Museo Sans" w:cs="Times New Roman"/>
          <w:color w:val="333F48"/>
          <w:sz w:val="27"/>
          <w:szCs w:val="27"/>
        </w:rPr>
      </w:pPr>
      <w:r w:rsidRPr="00CA50B3">
        <w:rPr>
          <w:rFonts w:ascii="Museo Sans" w:eastAsia="Times New Roman" w:hAnsi="Museo Sans" w:cs="Times New Roman"/>
          <w:color w:val="333F48"/>
          <w:sz w:val="27"/>
          <w:szCs w:val="27"/>
        </w:rPr>
        <w:t>The graduation rates for two- and four-year students at for-profit colleges, on the other hand, have dropped two percentage points under the new model, and including transfer students only bumps up their student success rate to 39%, he adds.</w:t>
      </w:r>
    </w:p>
    <w:p w:rsidR="00CA50B3" w:rsidRPr="00CA50B3" w:rsidRDefault="00CA50B3" w:rsidP="00CA50B3">
      <w:pPr>
        <w:spacing w:after="300" w:line="330" w:lineRule="atLeast"/>
        <w:rPr>
          <w:rFonts w:ascii="Museo Sans" w:eastAsia="Times New Roman" w:hAnsi="Museo Sans" w:cs="Times New Roman"/>
          <w:color w:val="333F48"/>
          <w:sz w:val="27"/>
          <w:szCs w:val="27"/>
        </w:rPr>
      </w:pPr>
      <w:r w:rsidRPr="00CA50B3">
        <w:rPr>
          <w:rFonts w:ascii="Museo Sans" w:eastAsia="Times New Roman" w:hAnsi="Museo Sans" w:cs="Times New Roman"/>
          <w:color w:val="333F48"/>
          <w:sz w:val="27"/>
          <w:szCs w:val="27"/>
        </w:rPr>
        <w:t xml:space="preserve">While community colleges still have room to improve, the recalibrated graduation rates paint a better picture of what community college student success can look like, Carey writes (Carey, </w:t>
      </w:r>
      <w:hyperlink r:id="rId6" w:history="1">
        <w:r w:rsidRPr="00CA50B3">
          <w:rPr>
            <w:rFonts w:ascii="Museo Sans" w:eastAsia="Times New Roman" w:hAnsi="Museo Sans" w:cs="Times New Roman"/>
            <w:i/>
            <w:iCs/>
            <w:color w:val="0072CE"/>
            <w:sz w:val="27"/>
            <w:szCs w:val="27"/>
          </w:rPr>
          <w:t>New York Times</w:t>
        </w:r>
      </w:hyperlink>
      <w:r w:rsidRPr="00CA50B3">
        <w:rPr>
          <w:rFonts w:ascii="Museo Sans" w:eastAsia="Times New Roman" w:hAnsi="Museo Sans" w:cs="Times New Roman"/>
          <w:color w:val="333F48"/>
          <w:sz w:val="27"/>
          <w:szCs w:val="27"/>
        </w:rPr>
        <w:t>, 11/3).</w:t>
      </w:r>
    </w:p>
    <w:p w:rsidR="00067D08" w:rsidRDefault="00067D08"/>
    <w:sectPr w:rsidR="00067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">
    <w:altName w:val="Times New Roman"/>
    <w:panose1 w:val="00000000000000000000"/>
    <w:charset w:val="00"/>
    <w:family w:val="roman"/>
    <w:notTrueType/>
    <w:pitch w:val="default"/>
  </w:font>
  <w:font w:name="Museo Slab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585"/>
    <w:multiLevelType w:val="multilevel"/>
    <w:tmpl w:val="63E2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DF7316"/>
    <w:multiLevelType w:val="multilevel"/>
    <w:tmpl w:val="E864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B3"/>
    <w:rsid w:val="00067D08"/>
    <w:rsid w:val="00CA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0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19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9D9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6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2437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ytimes.com/2017/10/31/upshot/revised-data-shows-community-colleges-have-been-underappreciated.html?_r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HCCS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HCCS</dc:creator>
  <cp:lastModifiedBy>HCCS</cp:lastModifiedBy>
  <cp:revision>1</cp:revision>
  <dcterms:created xsi:type="dcterms:W3CDTF">2017-12-11T13:11:00Z</dcterms:created>
  <dcterms:modified xsi:type="dcterms:W3CDTF">2017-12-11T13:12:00Z</dcterms:modified>
</cp:coreProperties>
</file>