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ED" w:rsidRDefault="009757ED" w:rsidP="009757ED">
      <w:pPr>
        <w:jc w:val="both"/>
      </w:pPr>
      <w:r>
        <w:t xml:space="preserve">1.  What makes a CPA license </w:t>
      </w:r>
      <w:proofErr w:type="gramStart"/>
      <w:r>
        <w:t>valuable:</w:t>
      </w:r>
      <w:proofErr w:type="gramEnd"/>
    </w:p>
    <w:p w:rsidR="009757ED" w:rsidRDefault="009757ED" w:rsidP="009757ED">
      <w:pPr>
        <w:jc w:val="both"/>
      </w:pPr>
    </w:p>
    <w:p w:rsidR="009757ED" w:rsidRDefault="009757ED" w:rsidP="009757ED">
      <w:pPr>
        <w:ind w:firstLine="720"/>
        <w:jc w:val="both"/>
      </w:pPr>
      <w:proofErr w:type="gramStart"/>
      <w:r>
        <w:t>a.  Time</w:t>
      </w:r>
      <w:proofErr w:type="gramEnd"/>
      <w:r>
        <w:t>, effort and education it takes to get the license.</w:t>
      </w:r>
    </w:p>
    <w:p w:rsidR="009757ED" w:rsidRDefault="009757ED" w:rsidP="009757ED">
      <w:pPr>
        <w:ind w:firstLine="720"/>
        <w:jc w:val="both"/>
      </w:pPr>
      <w:proofErr w:type="gramStart"/>
      <w:r>
        <w:t>b.  Continuing</w:t>
      </w:r>
      <w:proofErr w:type="gramEnd"/>
      <w:r>
        <w:t xml:space="preserve"> education after receiving the license.</w:t>
      </w:r>
    </w:p>
    <w:p w:rsidR="009757ED" w:rsidRDefault="009757ED" w:rsidP="009757ED">
      <w:pPr>
        <w:ind w:firstLine="720"/>
        <w:jc w:val="both"/>
      </w:pPr>
      <w:proofErr w:type="gramStart"/>
      <w:r>
        <w:t>c.  Monopoly</w:t>
      </w:r>
      <w:proofErr w:type="gramEnd"/>
      <w:r>
        <w:t xml:space="preserve"> on public accounting services.</w:t>
      </w:r>
    </w:p>
    <w:p w:rsidR="009757ED" w:rsidRDefault="009757ED" w:rsidP="009757ED">
      <w:pPr>
        <w:ind w:firstLine="720"/>
        <w:jc w:val="both"/>
      </w:pPr>
      <w:proofErr w:type="gramStart"/>
      <w:r>
        <w:t>d.  All</w:t>
      </w:r>
      <w:proofErr w:type="gramEnd"/>
      <w:r>
        <w:t xml:space="preserve"> of the above.</w:t>
      </w:r>
    </w:p>
    <w:p w:rsidR="009757ED" w:rsidRDefault="009757ED" w:rsidP="009757ED">
      <w:pPr>
        <w:ind w:firstLine="720"/>
        <w:jc w:val="both"/>
      </w:pPr>
      <w:proofErr w:type="gramStart"/>
      <w:r>
        <w:t>e.  None</w:t>
      </w:r>
      <w:proofErr w:type="gramEnd"/>
      <w:r>
        <w:t xml:space="preserve"> of the above.</w:t>
      </w:r>
    </w:p>
    <w:p w:rsidR="00CC6B8C" w:rsidRDefault="00CC6B8C"/>
    <w:p w:rsidR="009757ED" w:rsidRDefault="009757ED" w:rsidP="009757ED">
      <w:pPr>
        <w:jc w:val="both"/>
      </w:pPr>
      <w:r>
        <w:t xml:space="preserve">2.  What does the government expect of individuals licensed as a </w:t>
      </w:r>
      <w:proofErr w:type="gramStart"/>
      <w:r>
        <w:t>CPA:</w:t>
      </w:r>
      <w:proofErr w:type="gramEnd"/>
    </w:p>
    <w:p w:rsidR="009757ED" w:rsidRDefault="009757ED" w:rsidP="009757ED">
      <w:pPr>
        <w:jc w:val="both"/>
      </w:pPr>
    </w:p>
    <w:p w:rsidR="009757ED" w:rsidRDefault="009757ED" w:rsidP="009757ED">
      <w:pPr>
        <w:ind w:firstLine="720"/>
        <w:jc w:val="both"/>
      </w:pPr>
      <w:proofErr w:type="gramStart"/>
      <w:r>
        <w:t>a.  Competence</w:t>
      </w:r>
      <w:proofErr w:type="gramEnd"/>
      <w:r>
        <w:t xml:space="preserve"> in performing services.</w:t>
      </w:r>
    </w:p>
    <w:p w:rsidR="009757ED" w:rsidRDefault="009757ED" w:rsidP="009757ED">
      <w:pPr>
        <w:ind w:firstLine="720"/>
        <w:jc w:val="both"/>
      </w:pPr>
      <w:proofErr w:type="gramStart"/>
      <w:r>
        <w:t>b.  Objectivity</w:t>
      </w:r>
      <w:proofErr w:type="gramEnd"/>
      <w:r>
        <w:t xml:space="preserve"> in the offering of services.</w:t>
      </w:r>
    </w:p>
    <w:p w:rsidR="009757ED" w:rsidRDefault="009757ED" w:rsidP="009757ED">
      <w:pPr>
        <w:ind w:firstLine="720"/>
        <w:jc w:val="both"/>
      </w:pPr>
      <w:proofErr w:type="gramStart"/>
      <w:r>
        <w:t>c.  Integrity</w:t>
      </w:r>
      <w:proofErr w:type="gramEnd"/>
      <w:r>
        <w:t xml:space="preserve"> in client dealings.</w:t>
      </w:r>
    </w:p>
    <w:p w:rsidR="009757ED" w:rsidRDefault="009757ED" w:rsidP="009757ED">
      <w:pPr>
        <w:ind w:firstLine="720"/>
        <w:jc w:val="both"/>
      </w:pPr>
      <w:proofErr w:type="gramStart"/>
      <w:r>
        <w:t>d.  All</w:t>
      </w:r>
      <w:proofErr w:type="gramEnd"/>
      <w:r>
        <w:t xml:space="preserve"> of the above.</w:t>
      </w:r>
    </w:p>
    <w:p w:rsidR="009757ED" w:rsidRDefault="009757ED" w:rsidP="009757ED">
      <w:pPr>
        <w:ind w:firstLine="720"/>
        <w:jc w:val="both"/>
      </w:pPr>
      <w:proofErr w:type="gramStart"/>
      <w:r>
        <w:t>e.  None</w:t>
      </w:r>
      <w:proofErr w:type="gramEnd"/>
      <w:r>
        <w:t xml:space="preserve"> of the above.</w:t>
      </w:r>
    </w:p>
    <w:p w:rsidR="009757ED" w:rsidRDefault="009757ED" w:rsidP="009757ED">
      <w:pPr>
        <w:ind w:firstLine="720"/>
        <w:jc w:val="both"/>
      </w:pP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3" w:line="261" w:lineRule="auto"/>
        <w:rPr>
          <w:color w:val="000000"/>
        </w:rPr>
      </w:pPr>
      <w:r>
        <w:rPr>
          <w:color w:val="000000"/>
        </w:rPr>
        <w:t>3.  What creates a legal fiduciary relationship between a CPA and its client?</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3" w:line="261" w:lineRule="auto"/>
        <w:rPr>
          <w:color w:val="000000"/>
        </w:rPr>
      </w:pP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3" w:line="261" w:lineRule="auto"/>
        <w:ind w:firstLine="720"/>
        <w:rPr>
          <w:color w:val="000000"/>
        </w:rPr>
      </w:pPr>
      <w:proofErr w:type="gramStart"/>
      <w:r>
        <w:rPr>
          <w:color w:val="000000"/>
        </w:rPr>
        <w:t>a.  A</w:t>
      </w:r>
      <w:proofErr w:type="gramEnd"/>
      <w:r>
        <w:rPr>
          <w:color w:val="000000"/>
        </w:rPr>
        <w:t xml:space="preserve"> CPA performing an audit of a clients accounting books and records?</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3" w:line="261" w:lineRule="auto"/>
        <w:ind w:firstLine="720"/>
        <w:rPr>
          <w:color w:val="000000"/>
        </w:rPr>
      </w:pPr>
      <w:proofErr w:type="gramStart"/>
      <w:r>
        <w:rPr>
          <w:color w:val="000000"/>
        </w:rPr>
        <w:t>b.  A</w:t>
      </w:r>
      <w:proofErr w:type="gramEnd"/>
      <w:r>
        <w:rPr>
          <w:color w:val="000000"/>
        </w:rPr>
        <w:t xml:space="preserve"> CPA preparing a tax return?</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3" w:line="261" w:lineRule="auto"/>
        <w:ind w:firstLine="720"/>
        <w:rPr>
          <w:color w:val="000000"/>
        </w:rPr>
      </w:pPr>
      <w:proofErr w:type="gramStart"/>
      <w:r>
        <w:rPr>
          <w:color w:val="000000"/>
        </w:rPr>
        <w:t>c.  A</w:t>
      </w:r>
      <w:proofErr w:type="gramEnd"/>
      <w:r>
        <w:rPr>
          <w:color w:val="000000"/>
        </w:rPr>
        <w:t xml:space="preserve"> CPA  performing financial planning for a client?</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3" w:line="261" w:lineRule="auto"/>
        <w:ind w:firstLine="720"/>
        <w:rPr>
          <w:color w:val="000000"/>
        </w:rPr>
      </w:pPr>
      <w:proofErr w:type="gramStart"/>
      <w:r>
        <w:rPr>
          <w:color w:val="000000"/>
        </w:rPr>
        <w:t>d.  All</w:t>
      </w:r>
      <w:proofErr w:type="gramEnd"/>
      <w:r>
        <w:rPr>
          <w:color w:val="000000"/>
        </w:rPr>
        <w:t xml:space="preserve"> of the above.</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3" w:line="261" w:lineRule="auto"/>
        <w:ind w:firstLine="720"/>
        <w:rPr>
          <w:color w:val="000000"/>
        </w:rPr>
      </w:pPr>
      <w:proofErr w:type="gramStart"/>
      <w:r>
        <w:rPr>
          <w:color w:val="000000"/>
        </w:rPr>
        <w:t>e.  None</w:t>
      </w:r>
      <w:proofErr w:type="gramEnd"/>
      <w:r>
        <w:rPr>
          <w:color w:val="000000"/>
        </w:rPr>
        <w:t xml:space="preserve"> of the above.</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4.  The auditor of a publically traded company may:</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roofErr w:type="gramStart"/>
      <w:r>
        <w:rPr>
          <w:color w:val="000000"/>
        </w:rPr>
        <w:t>a.  Perform</w:t>
      </w:r>
      <w:proofErr w:type="gramEnd"/>
      <w:r>
        <w:rPr>
          <w:color w:val="000000"/>
        </w:rPr>
        <w:t xml:space="preserve"> up to 40 percent </w:t>
      </w:r>
      <w:r>
        <w:rPr>
          <w:i/>
          <w:iCs/>
          <w:color w:val="000000"/>
        </w:rPr>
        <w:t>(measured in terms of hours)</w:t>
      </w:r>
      <w:r>
        <w:rPr>
          <w:color w:val="000000"/>
        </w:rPr>
        <w:t xml:space="preserve"> of an audit client's internal </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r>
        <w:rPr>
          <w:color w:val="000000"/>
        </w:rPr>
        <w:t xml:space="preserve">     </w:t>
      </w:r>
      <w:proofErr w:type="gramStart"/>
      <w:r>
        <w:rPr>
          <w:color w:val="000000"/>
        </w:rPr>
        <w:t>audit</w:t>
      </w:r>
      <w:proofErr w:type="gramEnd"/>
      <w:r>
        <w:rPr>
          <w:color w:val="000000"/>
        </w:rPr>
        <w:t xml:space="preserve"> work.</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roofErr w:type="gramStart"/>
      <w:r>
        <w:rPr>
          <w:color w:val="000000"/>
        </w:rPr>
        <w:t>b.  Interview</w:t>
      </w:r>
      <w:proofErr w:type="gramEnd"/>
      <w:r>
        <w:rPr>
          <w:color w:val="000000"/>
        </w:rPr>
        <w:t xml:space="preserve"> candidates and advise the audit client on the candidate's competence for </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r>
        <w:rPr>
          <w:color w:val="000000"/>
        </w:rPr>
        <w:t xml:space="preserve">      </w:t>
      </w:r>
      <w:proofErr w:type="gramStart"/>
      <w:r>
        <w:rPr>
          <w:color w:val="000000"/>
        </w:rPr>
        <w:t>financial</w:t>
      </w:r>
      <w:proofErr w:type="gramEnd"/>
      <w:r>
        <w:rPr>
          <w:color w:val="000000"/>
        </w:rPr>
        <w:t xml:space="preserve"> accounting positions. </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roofErr w:type="gramStart"/>
      <w:r>
        <w:rPr>
          <w:color w:val="000000"/>
        </w:rPr>
        <w:t>c.  Make</w:t>
      </w:r>
      <w:proofErr w:type="gramEnd"/>
      <w:r>
        <w:rPr>
          <w:color w:val="000000"/>
        </w:rPr>
        <w:t xml:space="preserve"> recommendations for changes in the company</w:t>
      </w:r>
      <w:r>
        <w:rPr>
          <w:color w:val="000000"/>
        </w:rPr>
        <w:sym w:font="WP TypographicSymbols" w:char="003D"/>
      </w:r>
      <w:r>
        <w:rPr>
          <w:color w:val="000000"/>
        </w:rPr>
        <w:t>s financial information system.</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roofErr w:type="gramStart"/>
      <w:r>
        <w:rPr>
          <w:color w:val="000000"/>
        </w:rPr>
        <w:t>d.  All</w:t>
      </w:r>
      <w:proofErr w:type="gramEnd"/>
      <w:r>
        <w:rPr>
          <w:color w:val="000000"/>
        </w:rPr>
        <w:t xml:space="preserve"> of the above.</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roofErr w:type="gramStart"/>
      <w:r>
        <w:rPr>
          <w:color w:val="000000"/>
        </w:rPr>
        <w:t>e.  None</w:t>
      </w:r>
      <w:proofErr w:type="gramEnd"/>
      <w:r>
        <w:rPr>
          <w:color w:val="000000"/>
        </w:rPr>
        <w:t xml:space="preserve"> of the above.</w:t>
      </w:r>
    </w:p>
    <w:p w:rsidR="009757ED" w:rsidRDefault="009757ED" w:rsidP="00975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9757ED" w:rsidRDefault="009757ED"/>
    <w:p w:rsidR="00405AD3" w:rsidRDefault="00420BFA">
      <w:hyperlink r:id="rId7" w:history="1">
        <w:r w:rsidR="00405AD3" w:rsidRPr="008B2C2B">
          <w:rPr>
            <w:rStyle w:val="Hyperlink"/>
          </w:rPr>
          <w:t>http://pcaobus.org/About/Pages/default.aspx</w:t>
        </w:r>
      </w:hyperlink>
    </w:p>
    <w:p w:rsidR="00405AD3" w:rsidRDefault="00405AD3"/>
    <w:p w:rsidR="00405AD3" w:rsidRDefault="00420BFA">
      <w:hyperlink r:id="rId8" w:history="1">
        <w:r w:rsidR="00405AD3" w:rsidRPr="008B2C2B">
          <w:rPr>
            <w:rStyle w:val="Hyperlink"/>
          </w:rPr>
          <w:t>http://pcaobus.org/Standards/Pages/default.aspx</w:t>
        </w:r>
      </w:hyperlink>
    </w:p>
    <w:p w:rsidR="0084417A" w:rsidRDefault="0084417A"/>
    <w:p w:rsidR="0084417A" w:rsidRDefault="0084417A">
      <w:proofErr w:type="gramStart"/>
      <w:r>
        <w:t>PCAOB creating its own set of rules.</w:t>
      </w:r>
      <w:proofErr w:type="gramEnd"/>
    </w:p>
    <w:p w:rsidR="00405AD3" w:rsidRDefault="00405AD3"/>
    <w:p w:rsidR="00405AD3" w:rsidRDefault="00420BFA">
      <w:hyperlink r:id="rId9" w:history="1">
        <w:r w:rsidR="0084417A" w:rsidRPr="008B2C2B">
          <w:rPr>
            <w:rStyle w:val="Hyperlink"/>
          </w:rPr>
          <w:t>http://pcaobus.org/Standards/EI/Pages/default.aspx</w:t>
        </w:r>
      </w:hyperlink>
    </w:p>
    <w:p w:rsidR="0084417A" w:rsidRDefault="0084417A"/>
    <w:p w:rsidR="00405AD3" w:rsidRDefault="00405AD3"/>
    <w:p w:rsidR="00405AD3" w:rsidRPr="008B62D6" w:rsidRDefault="00405AD3" w:rsidP="00405AD3">
      <w:pPr>
        <w:rPr>
          <w:i/>
          <w:sz w:val="28"/>
          <w:szCs w:val="28"/>
          <w:u w:val="single"/>
        </w:rPr>
      </w:pPr>
      <w:r w:rsidRPr="008B62D6">
        <w:rPr>
          <w:i/>
          <w:sz w:val="28"/>
          <w:szCs w:val="28"/>
          <w:u w:val="single"/>
        </w:rPr>
        <w:lastRenderedPageBreak/>
        <w:t>AICPA vs. PCAOB</w:t>
      </w:r>
    </w:p>
    <w:p w:rsidR="00405AD3" w:rsidRDefault="00405AD3" w:rsidP="00405AD3"/>
    <w:p w:rsidR="00405AD3" w:rsidRDefault="00405AD3" w:rsidP="00405AD3"/>
    <w:p w:rsidR="00405AD3" w:rsidRPr="008B62D6" w:rsidRDefault="00405AD3" w:rsidP="00405AD3">
      <w:pPr>
        <w:spacing w:after="264"/>
        <w:rPr>
          <w:rFonts w:ascii="Arial" w:hAnsi="Arial" w:cs="Arial"/>
          <w:color w:val="000000"/>
          <w:sz w:val="19"/>
          <w:szCs w:val="19"/>
        </w:rPr>
      </w:pPr>
      <w:r w:rsidRPr="008B62D6">
        <w:rPr>
          <w:rFonts w:ascii="Arial" w:hAnsi="Arial" w:cs="Arial"/>
          <w:b/>
          <w:i/>
          <w:color w:val="FF0000"/>
          <w:u w:val="single"/>
        </w:rPr>
        <w:t>The Public Company Accounting Oversight Board</w:t>
      </w:r>
      <w:r w:rsidRPr="008B62D6">
        <w:rPr>
          <w:rFonts w:ascii="Arial" w:hAnsi="Arial" w:cs="Arial"/>
          <w:color w:val="000000"/>
          <w:sz w:val="19"/>
          <w:szCs w:val="19"/>
        </w:rPr>
        <w:t xml:space="preserve"> today heard a presentation from the PCAOB Office of the Chief Auditor (OCA) on its outreach to investors and others about potential changes to the auditor's reporting model.</w:t>
      </w:r>
    </w:p>
    <w:p w:rsidR="00405AD3" w:rsidRPr="008B62D6" w:rsidRDefault="00405AD3" w:rsidP="00405AD3">
      <w:pPr>
        <w:spacing w:after="264"/>
        <w:rPr>
          <w:rFonts w:ascii="Arial" w:hAnsi="Arial" w:cs="Arial"/>
          <w:color w:val="000000"/>
          <w:sz w:val="19"/>
          <w:szCs w:val="19"/>
        </w:rPr>
      </w:pPr>
      <w:r w:rsidRPr="008B62D6">
        <w:rPr>
          <w:rFonts w:ascii="Arial" w:hAnsi="Arial" w:cs="Arial"/>
          <w:color w:val="000000"/>
          <w:sz w:val="19"/>
          <w:szCs w:val="19"/>
        </w:rPr>
        <w:t>"We heard from investors that they want more information in the auditor's report. Investor dissatisfaction with the current auditor's reporting model should concern other constituents as well, including preparers, auditors and regulators," said PCAOB Chairman James R. Doty. "Today's report from our own staff, based on their discussions with a broad audience, will be vital to the Board's effort to develop a meaningful proposal for change in a concept release. Our intention is to expose such a release as early as this summer."</w:t>
      </w:r>
    </w:p>
    <w:p w:rsidR="00405AD3" w:rsidRDefault="00405AD3" w:rsidP="00405AD3">
      <w:r w:rsidRPr="008B62D6">
        <w:t>http://pcaobus.org/News/Releases/Pages/03222011_AuditorsReportingModel.aspx</w:t>
      </w:r>
    </w:p>
    <w:p w:rsidR="00405AD3" w:rsidRDefault="00405AD3" w:rsidP="00405AD3"/>
    <w:p w:rsidR="00405AD3" w:rsidRDefault="00405AD3" w:rsidP="00405AD3">
      <w:pPr>
        <w:rPr>
          <w:rFonts w:ascii="Arial" w:hAnsi="Arial" w:cs="Arial"/>
          <w:sz w:val="20"/>
          <w:szCs w:val="20"/>
        </w:rPr>
      </w:pPr>
      <w:r>
        <w:rPr>
          <w:rStyle w:val="Strong"/>
          <w:rFonts w:ascii="Arial" w:hAnsi="Arial" w:cs="Arial"/>
          <w:color w:val="990000"/>
        </w:rPr>
        <w:t xml:space="preserve">AICPA's ASB Finalized the Clarified </w:t>
      </w:r>
      <w:r>
        <w:rPr>
          <w:rStyle w:val="yshortcuts"/>
          <w:rFonts w:ascii="Arial" w:hAnsi="Arial" w:cs="Arial"/>
          <w:b/>
          <w:bCs/>
          <w:color w:val="990000"/>
        </w:rPr>
        <w:t>Statement on Auditing Standards</w:t>
      </w:r>
      <w:r>
        <w:br/>
      </w:r>
      <w:r>
        <w:rPr>
          <w:rFonts w:ascii="Arial" w:hAnsi="Arial" w:cs="Arial"/>
          <w:sz w:val="20"/>
          <w:szCs w:val="20"/>
        </w:rPr>
        <w:t xml:space="preserve">As part of its clarity project, AICPA's </w:t>
      </w:r>
      <w:r>
        <w:rPr>
          <w:rStyle w:val="yshortcuts"/>
          <w:rFonts w:ascii="Arial" w:hAnsi="Arial" w:cs="Arial"/>
          <w:sz w:val="20"/>
          <w:szCs w:val="20"/>
        </w:rPr>
        <w:t>Auditing Standards Board</w:t>
      </w:r>
      <w:r>
        <w:rPr>
          <w:rFonts w:ascii="Arial" w:hAnsi="Arial" w:cs="Arial"/>
          <w:sz w:val="20"/>
          <w:szCs w:val="20"/>
        </w:rPr>
        <w:t xml:space="preserve"> (ASB) has finalized the clarified Statement on Auditing Standards (SAS), </w:t>
      </w:r>
      <w:r>
        <w:rPr>
          <w:rStyle w:val="Emphasis"/>
          <w:rFonts w:ascii="Arial" w:hAnsi="Arial" w:cs="Arial"/>
          <w:sz w:val="20"/>
          <w:szCs w:val="20"/>
        </w:rPr>
        <w:t xml:space="preserve">Filings with the U.S. </w:t>
      </w:r>
      <w:r>
        <w:rPr>
          <w:rStyle w:val="yshortcuts"/>
          <w:rFonts w:ascii="Arial" w:hAnsi="Arial" w:cs="Arial"/>
          <w:i/>
          <w:iCs/>
          <w:sz w:val="20"/>
          <w:szCs w:val="20"/>
        </w:rPr>
        <w:t>Securities and Exchange Commission</w:t>
      </w:r>
      <w:r>
        <w:rPr>
          <w:rStyle w:val="Emphasis"/>
          <w:rFonts w:ascii="Arial" w:hAnsi="Arial" w:cs="Arial"/>
          <w:sz w:val="20"/>
          <w:szCs w:val="20"/>
        </w:rPr>
        <w:t xml:space="preserve"> </w:t>
      </w:r>
      <w:proofErr w:type="gramStart"/>
      <w:r>
        <w:rPr>
          <w:rStyle w:val="Emphasis"/>
          <w:rFonts w:ascii="Arial" w:hAnsi="Arial" w:cs="Arial"/>
          <w:sz w:val="20"/>
          <w:szCs w:val="20"/>
        </w:rPr>
        <w:t>Under</w:t>
      </w:r>
      <w:proofErr w:type="gramEnd"/>
      <w:r>
        <w:rPr>
          <w:rStyle w:val="Emphasis"/>
          <w:rFonts w:ascii="Arial" w:hAnsi="Arial" w:cs="Arial"/>
          <w:sz w:val="20"/>
          <w:szCs w:val="20"/>
        </w:rPr>
        <w:t xml:space="preserve"> the </w:t>
      </w:r>
      <w:r>
        <w:rPr>
          <w:rStyle w:val="yshortcuts"/>
          <w:rFonts w:ascii="Arial" w:hAnsi="Arial" w:cs="Arial"/>
          <w:i/>
          <w:iCs/>
          <w:sz w:val="20"/>
          <w:szCs w:val="20"/>
        </w:rPr>
        <w:t>Securities Act of 1933</w:t>
      </w:r>
      <w:r>
        <w:rPr>
          <w:rFonts w:ascii="Arial" w:hAnsi="Arial" w:cs="Arial"/>
          <w:sz w:val="20"/>
          <w:szCs w:val="20"/>
        </w:rPr>
        <w:t xml:space="preserve"> to supersede AU Section 711 </w:t>
      </w:r>
      <w:r>
        <w:rPr>
          <w:rStyle w:val="Emphasis"/>
          <w:rFonts w:ascii="Arial" w:hAnsi="Arial" w:cs="Arial"/>
          <w:sz w:val="20"/>
          <w:szCs w:val="20"/>
        </w:rPr>
        <w:t>Filings Under Federal Securities Statutes</w:t>
      </w:r>
      <w:r>
        <w:rPr>
          <w:rFonts w:ascii="Arial" w:hAnsi="Arial" w:cs="Arial"/>
          <w:sz w:val="20"/>
          <w:szCs w:val="20"/>
        </w:rPr>
        <w:t>. The clarified SAS addresses the auditor's responsibilities in connection with financial statements of a non-issuer included or incorporated by reference in a registration statement filed with the SEC under the Securities Act of 1933, as amended.</w:t>
      </w:r>
    </w:p>
    <w:p w:rsidR="00405AD3" w:rsidRDefault="00405AD3" w:rsidP="00405AD3">
      <w:pPr>
        <w:rPr>
          <w:rFonts w:ascii="Arial" w:hAnsi="Arial" w:cs="Arial"/>
          <w:sz w:val="20"/>
          <w:szCs w:val="20"/>
        </w:rPr>
      </w:pPr>
    </w:p>
    <w:p w:rsidR="00405AD3" w:rsidRDefault="00405AD3" w:rsidP="00405AD3">
      <w:r w:rsidRPr="008B62D6">
        <w:t>http://www.aicpa.org/InterestAreas/AccountingAndAuditing/Resources/AudAttest/AudAttestStndrds/ASBClarity/DownloadableDocuments/Clarified_SASs/Clarified_SAS_SEC_Filings.pdf</w:t>
      </w:r>
    </w:p>
    <w:p w:rsidR="00405AD3" w:rsidRDefault="00405AD3"/>
    <w:p w:rsidR="00405AD3" w:rsidRPr="0084417A" w:rsidRDefault="0084417A">
      <w:pPr>
        <w:rPr>
          <w:b/>
        </w:rPr>
      </w:pPr>
      <w:r w:rsidRPr="0084417A">
        <w:rPr>
          <w:b/>
          <w:u w:val="single"/>
        </w:rPr>
        <w:t>AICPA Ethics</w:t>
      </w:r>
      <w:r w:rsidRPr="0084417A">
        <w:rPr>
          <w:b/>
        </w:rPr>
        <w:t>:</w:t>
      </w:r>
    </w:p>
    <w:p w:rsidR="0084417A" w:rsidRDefault="0084417A"/>
    <w:p w:rsidR="0084417A" w:rsidRDefault="0084417A" w:rsidP="0084417A">
      <w:pPr>
        <w:pStyle w:val="Heading1"/>
        <w:shd w:val="clear" w:color="auto" w:fill="FFFFFF"/>
        <w:rPr>
          <w:rFonts w:ascii="Arial" w:hAnsi="Arial" w:cs="Arial"/>
        </w:rPr>
      </w:pPr>
      <w:r>
        <w:rPr>
          <w:rFonts w:ascii="Arial" w:hAnsi="Arial" w:cs="Arial"/>
        </w:rPr>
        <w:t xml:space="preserve">Composition, Applicability and Compliance </w:t>
      </w:r>
    </w:p>
    <w:p w:rsidR="0084417A" w:rsidRDefault="0084417A" w:rsidP="0084417A">
      <w:pPr>
        <w:shd w:val="clear" w:color="auto" w:fill="FFFFFF"/>
        <w:rPr>
          <w:rFonts w:ascii="Arial" w:hAnsi="Arial" w:cs="Arial"/>
          <w:color w:val="000000"/>
          <w:sz w:val="18"/>
          <w:szCs w:val="18"/>
        </w:rPr>
      </w:pPr>
      <w:r>
        <w:rPr>
          <w:rFonts w:ascii="Arial" w:hAnsi="Arial" w:cs="Arial"/>
          <w:color w:val="000000"/>
          <w:sz w:val="18"/>
          <w:szCs w:val="18"/>
        </w:rPr>
        <w:br/>
      </w:r>
      <w:r w:rsidR="00420BFA">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 w:shapeid="_x0000_i1030"/>
        </w:object>
      </w:r>
      <w:r w:rsidR="00420BFA">
        <w:rPr>
          <w:rFonts w:ascii="Arial" w:hAnsi="Arial" w:cs="Arial"/>
          <w:color w:val="000000"/>
          <w:sz w:val="18"/>
          <w:szCs w:val="18"/>
        </w:rPr>
        <w:object w:dxaOrig="225" w:dyaOrig="225">
          <v:shape id="_x0000_i1033" type="#_x0000_t75" style="width:1in;height:18pt" o:ole="">
            <v:imagedata r:id="rId10" o:title=""/>
          </v:shape>
          <w:control r:id="rId12" w:name="DefaultOcxName1" w:shapeid="_x0000_i1033"/>
        </w:object>
      </w:r>
    </w:p>
    <w:p w:rsidR="0084417A" w:rsidRDefault="0084417A" w:rsidP="0084417A">
      <w:pPr>
        <w:pStyle w:val="NormalWeb"/>
        <w:shd w:val="clear" w:color="auto" w:fill="FFFFFF"/>
        <w:rPr>
          <w:rFonts w:ascii="Arial" w:hAnsi="Arial" w:cs="Arial"/>
          <w:color w:val="000000"/>
        </w:rPr>
      </w:pPr>
      <w:r>
        <w:rPr>
          <w:rFonts w:ascii="Arial" w:hAnsi="Arial" w:cs="Arial"/>
          <w:color w:val="000000"/>
        </w:rPr>
        <w:t xml:space="preserve">The Code of Professional Conduct of the American Institute of Certified Public Accountants consists of two sections—(1) the Principles and (2) the Rules. The Principles provide the framework for the Rules, which govern the performance of professional services by members. The Council of the American Institute of CPAs is authorized to designate bodies to promulgate technical standards under the Rules, and the </w:t>
      </w:r>
      <w:hyperlink r:id="rId13" w:history="1">
        <w:r>
          <w:rPr>
            <w:rStyle w:val="Hyperlink"/>
            <w:rFonts w:ascii="Arial" w:hAnsi="Arial" w:cs="Arial"/>
          </w:rPr>
          <w:t>Bylaws</w:t>
        </w:r>
      </w:hyperlink>
      <w:r>
        <w:rPr>
          <w:rFonts w:ascii="Arial" w:hAnsi="Arial" w:cs="Arial"/>
          <w:color w:val="000000"/>
        </w:rPr>
        <w:t xml:space="preserve"> require adherence to those Rules and standards. </w:t>
      </w:r>
    </w:p>
    <w:p w:rsidR="0084417A" w:rsidRPr="0084417A" w:rsidRDefault="0084417A" w:rsidP="0084417A">
      <w:pPr>
        <w:pStyle w:val="NormalWeb"/>
        <w:shd w:val="clear" w:color="auto" w:fill="FFFFFF"/>
        <w:rPr>
          <w:rFonts w:ascii="Arial" w:hAnsi="Arial" w:cs="Arial"/>
          <w:color w:val="000000"/>
          <w:sz w:val="22"/>
          <w:szCs w:val="22"/>
        </w:rPr>
      </w:pPr>
      <w:r w:rsidRPr="0084417A">
        <w:rPr>
          <w:rFonts w:ascii="Arial" w:hAnsi="Arial" w:cs="Arial"/>
          <w:color w:val="000000"/>
          <w:sz w:val="22"/>
          <w:szCs w:val="22"/>
        </w:rPr>
        <w:t xml:space="preserve">The Code of Professional Conduct was adopted by the membership to provide guidance and rules </w:t>
      </w:r>
      <w:r w:rsidRPr="0084417A">
        <w:rPr>
          <w:rFonts w:ascii="Arial" w:hAnsi="Arial" w:cs="Arial"/>
          <w:color w:val="000000"/>
          <w:sz w:val="22"/>
          <w:szCs w:val="22"/>
          <w:u w:val="single"/>
        </w:rPr>
        <w:t>to all members</w:t>
      </w:r>
      <w:r w:rsidRPr="0084417A">
        <w:rPr>
          <w:rFonts w:ascii="Arial" w:hAnsi="Arial" w:cs="Arial"/>
          <w:color w:val="000000"/>
          <w:sz w:val="22"/>
          <w:szCs w:val="22"/>
        </w:rPr>
        <w:t>—those in public practice, industry, government and education—in the performance of their professional responsibilities.</w:t>
      </w:r>
      <w:r>
        <w:rPr>
          <w:rFonts w:ascii="Arial" w:hAnsi="Arial" w:cs="Arial"/>
          <w:color w:val="000000"/>
          <w:sz w:val="22"/>
          <w:szCs w:val="22"/>
        </w:rPr>
        <w:t xml:space="preserve"> (</w:t>
      </w:r>
      <w:proofErr w:type="gramStart"/>
      <w:r>
        <w:rPr>
          <w:rFonts w:ascii="Arial" w:hAnsi="Arial" w:cs="Arial"/>
          <w:color w:val="000000"/>
          <w:sz w:val="22"/>
          <w:szCs w:val="22"/>
        </w:rPr>
        <w:t>emphasis</w:t>
      </w:r>
      <w:proofErr w:type="gramEnd"/>
      <w:r>
        <w:rPr>
          <w:rFonts w:ascii="Arial" w:hAnsi="Arial" w:cs="Arial"/>
          <w:color w:val="000000"/>
          <w:sz w:val="22"/>
          <w:szCs w:val="22"/>
        </w:rPr>
        <w:t xml:space="preserve"> added)</w:t>
      </w:r>
    </w:p>
    <w:p w:rsidR="0084417A" w:rsidRDefault="0084417A" w:rsidP="0084417A">
      <w:pPr>
        <w:pStyle w:val="NormalWeb"/>
        <w:shd w:val="clear" w:color="auto" w:fill="FFFFFF"/>
        <w:rPr>
          <w:rFonts w:ascii="Arial" w:hAnsi="Arial" w:cs="Arial"/>
          <w:color w:val="000000"/>
        </w:rPr>
      </w:pPr>
      <w:r>
        <w:rPr>
          <w:rFonts w:ascii="Arial" w:hAnsi="Arial" w:cs="Arial"/>
          <w:color w:val="000000"/>
        </w:rPr>
        <w:t>Compliance with the Code of Professional Conduct, as with all standards in an open society, depends primarily on members' understanding and voluntary actions, secondarily on reinforcement by peers and public opinion, and ultimately on disciplinary proceedings, when necessary, against members who fail to comply with the Rules.</w:t>
      </w:r>
    </w:p>
    <w:p w:rsidR="00405AD3" w:rsidRDefault="00420BFA">
      <w:hyperlink r:id="rId14" w:history="1">
        <w:r w:rsidR="0084417A" w:rsidRPr="008B2C2B">
          <w:rPr>
            <w:rStyle w:val="Hyperlink"/>
          </w:rPr>
          <w:t>http://www.aicpa.org/Research/Standards/CodeofConduct/Pages/default.aspx</w:t>
        </w:r>
      </w:hyperlink>
    </w:p>
    <w:p w:rsidR="0084417A" w:rsidRDefault="0084417A"/>
    <w:p w:rsidR="0084417A" w:rsidRDefault="0084417A">
      <w:r w:rsidRPr="0084417A">
        <w:rPr>
          <w:i/>
        </w:rPr>
        <w:t>Opinion</w:t>
      </w:r>
      <w:r>
        <w:t xml:space="preserve">: If performing a public company audit, follow PCAOB rules and any conflicts in rules require use of PCAOB rules. </w:t>
      </w:r>
    </w:p>
    <w:p w:rsidR="00405AD3" w:rsidRDefault="00405AD3"/>
    <w:p w:rsidR="00405AD3" w:rsidRDefault="00405AD3"/>
    <w:p w:rsidR="00405AD3" w:rsidRDefault="00405AD3"/>
    <w:p w:rsidR="00405AD3" w:rsidRPr="0084417A" w:rsidRDefault="0084417A">
      <w:pPr>
        <w:rPr>
          <w:b/>
        </w:rPr>
      </w:pPr>
      <w:r w:rsidRPr="0084417A">
        <w:rPr>
          <w:b/>
          <w:color w:val="000000"/>
          <w:u w:val="single"/>
        </w:rPr>
        <w:lastRenderedPageBreak/>
        <w:t>The Texas Board of Public Accounting</w:t>
      </w:r>
      <w:r w:rsidRPr="0084417A">
        <w:rPr>
          <w:b/>
          <w:color w:val="000000"/>
        </w:rPr>
        <w:t>:</w:t>
      </w:r>
    </w:p>
    <w:p w:rsidR="0084417A" w:rsidRDefault="0084417A"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p>
    <w:p w:rsidR="0084417A" w:rsidRDefault="0084417A"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 xml:space="preserve">5. What entity licenses </w:t>
      </w:r>
      <w:r w:rsidR="00920B2D">
        <w:rPr>
          <w:color w:val="000000"/>
        </w:rPr>
        <w:t>CPAs?</w:t>
      </w:r>
    </w:p>
    <w:p w:rsidR="0084417A" w:rsidRDefault="0084417A"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p>
    <w:p w:rsidR="0084417A" w:rsidRDefault="00920B2D" w:rsidP="008441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AICPA</w:t>
      </w:r>
    </w:p>
    <w:p w:rsidR="00920B2D" w:rsidRDefault="00920B2D" w:rsidP="008441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PCAOB</w:t>
      </w:r>
    </w:p>
    <w:p w:rsidR="00920B2D" w:rsidRDefault="00920B2D" w:rsidP="008441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IRS</w:t>
      </w:r>
    </w:p>
    <w:p w:rsidR="00920B2D" w:rsidRDefault="00920B2D" w:rsidP="008441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Treasury Department of the United States</w:t>
      </w:r>
    </w:p>
    <w:p w:rsidR="00920B2D" w:rsidRPr="0084417A" w:rsidRDefault="00920B2D" w:rsidP="008441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None of the above</w:t>
      </w:r>
    </w:p>
    <w:p w:rsidR="0084417A" w:rsidRDefault="0084417A"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p>
    <w:p w:rsidR="00405AD3" w:rsidRDefault="0084417A"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r>
        <w:rPr>
          <w:color w:val="000000"/>
        </w:rPr>
        <w:t>6</w:t>
      </w:r>
      <w:r w:rsidR="00405AD3">
        <w:rPr>
          <w:color w:val="000000"/>
        </w:rPr>
        <w:t>.  The Texas</w:t>
      </w:r>
      <w:r>
        <w:rPr>
          <w:color w:val="000000"/>
        </w:rPr>
        <w:t xml:space="preserve"> Board of Public A</w:t>
      </w:r>
      <w:r w:rsidR="00405AD3">
        <w:rPr>
          <w:color w:val="000000"/>
        </w:rPr>
        <w:t>ccounting may discipline a CPA if he is convicted of a misdemeanor involving the following acts:</w:t>
      </w:r>
    </w:p>
    <w:p w:rsidR="00405AD3" w:rsidRDefault="00405AD3"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000000"/>
        </w:rPr>
      </w:pPr>
    </w:p>
    <w:p w:rsidR="00405AD3" w:rsidRDefault="00405AD3"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roofErr w:type="gramStart"/>
      <w:r>
        <w:rPr>
          <w:color w:val="000000"/>
        </w:rPr>
        <w:t>a.  Walking</w:t>
      </w:r>
      <w:proofErr w:type="gramEnd"/>
      <w:r>
        <w:rPr>
          <w:color w:val="000000"/>
        </w:rPr>
        <w:t xml:space="preserve"> around intoxicated.</w:t>
      </w:r>
    </w:p>
    <w:p w:rsidR="00405AD3" w:rsidRDefault="00405AD3"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roofErr w:type="gramStart"/>
      <w:r>
        <w:rPr>
          <w:color w:val="000000"/>
        </w:rPr>
        <w:t>b.  Stealing</w:t>
      </w:r>
      <w:proofErr w:type="gramEnd"/>
      <w:r>
        <w:rPr>
          <w:color w:val="000000"/>
        </w:rPr>
        <w:t xml:space="preserve"> cable television.</w:t>
      </w:r>
    </w:p>
    <w:p w:rsidR="00405AD3" w:rsidRDefault="00405AD3"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roofErr w:type="gramStart"/>
      <w:r>
        <w:rPr>
          <w:color w:val="000000"/>
        </w:rPr>
        <w:t>c.  Writing</w:t>
      </w:r>
      <w:proofErr w:type="gramEnd"/>
      <w:r>
        <w:rPr>
          <w:color w:val="000000"/>
        </w:rPr>
        <w:t xml:space="preserve"> a “hot” check.</w:t>
      </w:r>
    </w:p>
    <w:p w:rsidR="00405AD3" w:rsidRDefault="00405AD3"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roofErr w:type="gramStart"/>
      <w:r>
        <w:rPr>
          <w:color w:val="000000"/>
        </w:rPr>
        <w:t>d.  All</w:t>
      </w:r>
      <w:proofErr w:type="gramEnd"/>
      <w:r>
        <w:rPr>
          <w:color w:val="000000"/>
        </w:rPr>
        <w:t xml:space="preserve"> of the above.</w:t>
      </w:r>
    </w:p>
    <w:p w:rsidR="00405AD3" w:rsidRDefault="00405AD3" w:rsidP="0040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color w:val="000000"/>
        </w:rPr>
      </w:pPr>
      <w:proofErr w:type="gramStart"/>
      <w:r>
        <w:rPr>
          <w:color w:val="000000"/>
        </w:rPr>
        <w:t>e.  None</w:t>
      </w:r>
      <w:proofErr w:type="gramEnd"/>
      <w:r>
        <w:rPr>
          <w:color w:val="000000"/>
        </w:rPr>
        <w:t xml:space="preserve"> of the above.</w:t>
      </w:r>
    </w:p>
    <w:p w:rsidR="00405AD3" w:rsidRDefault="00405AD3"/>
    <w:p w:rsidR="0084417A" w:rsidRDefault="00420BFA">
      <w:hyperlink r:id="rId15" w:history="1">
        <w:r w:rsidR="0084417A" w:rsidRPr="008B2C2B">
          <w:rPr>
            <w:rStyle w:val="Hyperlink"/>
          </w:rPr>
          <w:t>http://www.tsbpa.state.tx.us/</w:t>
        </w:r>
      </w:hyperlink>
    </w:p>
    <w:p w:rsidR="0084417A" w:rsidRDefault="0084417A"/>
    <w:p w:rsidR="0084417A" w:rsidRDefault="0084417A">
      <w:r>
        <w:t xml:space="preserve">Find the rules? </w:t>
      </w:r>
    </w:p>
    <w:p w:rsidR="0084417A" w:rsidRDefault="0084417A">
      <w:r>
        <w:t xml:space="preserve">Rules are not searchable and may change on a regular basis. For any issue related to the TSBPA, please review the rules immediately before any decision to ensure compliance with the most current rules. </w:t>
      </w:r>
    </w:p>
    <w:sectPr w:rsidR="0084417A" w:rsidSect="00CC6B8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7A" w:rsidRDefault="0084417A" w:rsidP="00577847">
      <w:r>
        <w:separator/>
      </w:r>
    </w:p>
  </w:endnote>
  <w:endnote w:type="continuationSeparator" w:id="1">
    <w:p w:rsidR="0084417A" w:rsidRDefault="0084417A" w:rsidP="00577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BA" w:rsidRDefault="00903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87645"/>
      <w:docPartObj>
        <w:docPartGallery w:val="Page Numbers (Bottom of Page)"/>
        <w:docPartUnique/>
      </w:docPartObj>
    </w:sdtPr>
    <w:sdtContent>
      <w:sdt>
        <w:sdtPr>
          <w:id w:val="565050477"/>
          <w:docPartObj>
            <w:docPartGallery w:val="Page Numbers (Top of Page)"/>
            <w:docPartUnique/>
          </w:docPartObj>
        </w:sdtPr>
        <w:sdtContent>
          <w:p w:rsidR="0084417A" w:rsidRDefault="0084417A">
            <w:pPr>
              <w:pStyle w:val="Footer"/>
              <w:jc w:val="center"/>
            </w:pPr>
            <w:r>
              <w:t xml:space="preserve">Page </w:t>
            </w:r>
            <w:r w:rsidR="00420BFA">
              <w:rPr>
                <w:b/>
              </w:rPr>
              <w:fldChar w:fldCharType="begin"/>
            </w:r>
            <w:r>
              <w:rPr>
                <w:b/>
              </w:rPr>
              <w:instrText xml:space="preserve"> PAGE </w:instrText>
            </w:r>
            <w:r w:rsidR="00420BFA">
              <w:rPr>
                <w:b/>
              </w:rPr>
              <w:fldChar w:fldCharType="separate"/>
            </w:r>
            <w:r w:rsidR="00903DBA">
              <w:rPr>
                <w:b/>
                <w:noProof/>
              </w:rPr>
              <w:t>1</w:t>
            </w:r>
            <w:r w:rsidR="00420BFA">
              <w:rPr>
                <w:b/>
              </w:rPr>
              <w:fldChar w:fldCharType="end"/>
            </w:r>
            <w:r>
              <w:t xml:space="preserve"> of </w:t>
            </w:r>
            <w:r w:rsidR="00420BFA">
              <w:rPr>
                <w:b/>
              </w:rPr>
              <w:fldChar w:fldCharType="begin"/>
            </w:r>
            <w:r>
              <w:rPr>
                <w:b/>
              </w:rPr>
              <w:instrText xml:space="preserve"> NUMPAGES  </w:instrText>
            </w:r>
            <w:r w:rsidR="00420BFA">
              <w:rPr>
                <w:b/>
              </w:rPr>
              <w:fldChar w:fldCharType="separate"/>
            </w:r>
            <w:r w:rsidR="00903DBA">
              <w:rPr>
                <w:b/>
                <w:noProof/>
              </w:rPr>
              <w:t>3</w:t>
            </w:r>
            <w:r w:rsidR="00420BFA">
              <w:rPr>
                <w:b/>
              </w:rPr>
              <w:fldChar w:fldCharType="end"/>
            </w:r>
          </w:p>
        </w:sdtContent>
      </w:sdt>
    </w:sdtContent>
  </w:sdt>
  <w:p w:rsidR="0084417A" w:rsidRDefault="008441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BA" w:rsidRDefault="00903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7A" w:rsidRDefault="0084417A" w:rsidP="00577847">
      <w:r>
        <w:separator/>
      </w:r>
    </w:p>
  </w:footnote>
  <w:footnote w:type="continuationSeparator" w:id="1">
    <w:p w:rsidR="0084417A" w:rsidRDefault="0084417A" w:rsidP="00577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BA" w:rsidRDefault="00903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7A" w:rsidRDefault="00903DBA">
    <w:pPr>
      <w:pStyle w:val="Header"/>
    </w:pPr>
    <w:r>
      <w:rPr>
        <w:u w:val="double"/>
      </w:rPr>
      <w:t xml:space="preserve">Lecture notes for </w:t>
    </w:r>
    <w:r w:rsidR="0084417A">
      <w:rPr>
        <w:u w:val="double"/>
      </w:rPr>
      <w:t>ACCT/PCAOB/TSBPA Ethics</w:t>
    </w:r>
    <w:r w:rsidR="0084417A">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BA" w:rsidRDefault="00903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7090"/>
    <w:multiLevelType w:val="hybridMultilevel"/>
    <w:tmpl w:val="8122526A"/>
    <w:lvl w:ilvl="0" w:tplc="6518A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757ED"/>
    <w:rsid w:val="0010209B"/>
    <w:rsid w:val="002E28CA"/>
    <w:rsid w:val="00405AD3"/>
    <w:rsid w:val="00420BFA"/>
    <w:rsid w:val="00577847"/>
    <w:rsid w:val="00653030"/>
    <w:rsid w:val="0084417A"/>
    <w:rsid w:val="00903DBA"/>
    <w:rsid w:val="00920B2D"/>
    <w:rsid w:val="009757ED"/>
    <w:rsid w:val="00CC6B8C"/>
    <w:rsid w:val="00FF1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ED"/>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4417A"/>
    <w:pPr>
      <w:widowControl/>
      <w:autoSpaceDE/>
      <w:autoSpaceDN/>
      <w:adjustRightInd/>
      <w:spacing w:before="75" w:after="75"/>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7847"/>
    <w:pPr>
      <w:tabs>
        <w:tab w:val="center" w:pos="4680"/>
        <w:tab w:val="right" w:pos="9360"/>
      </w:tabs>
    </w:pPr>
  </w:style>
  <w:style w:type="character" w:customStyle="1" w:styleId="HeaderChar">
    <w:name w:val="Header Char"/>
    <w:basedOn w:val="DefaultParagraphFont"/>
    <w:link w:val="Header"/>
    <w:uiPriority w:val="99"/>
    <w:semiHidden/>
    <w:rsid w:val="00577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847"/>
    <w:pPr>
      <w:tabs>
        <w:tab w:val="center" w:pos="4680"/>
        <w:tab w:val="right" w:pos="9360"/>
      </w:tabs>
    </w:pPr>
  </w:style>
  <w:style w:type="character" w:customStyle="1" w:styleId="FooterChar">
    <w:name w:val="Footer Char"/>
    <w:basedOn w:val="DefaultParagraphFont"/>
    <w:link w:val="Footer"/>
    <w:uiPriority w:val="99"/>
    <w:rsid w:val="005778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AD3"/>
    <w:rPr>
      <w:color w:val="0000FF" w:themeColor="hyperlink"/>
      <w:u w:val="single"/>
    </w:rPr>
  </w:style>
  <w:style w:type="character" w:styleId="Emphasis">
    <w:name w:val="Emphasis"/>
    <w:basedOn w:val="DefaultParagraphFont"/>
    <w:uiPriority w:val="20"/>
    <w:qFormat/>
    <w:rsid w:val="00405AD3"/>
    <w:rPr>
      <w:i/>
      <w:iCs/>
    </w:rPr>
  </w:style>
  <w:style w:type="character" w:styleId="Strong">
    <w:name w:val="Strong"/>
    <w:basedOn w:val="DefaultParagraphFont"/>
    <w:uiPriority w:val="22"/>
    <w:qFormat/>
    <w:rsid w:val="00405AD3"/>
    <w:rPr>
      <w:b/>
      <w:bCs/>
    </w:rPr>
  </w:style>
  <w:style w:type="character" w:customStyle="1" w:styleId="yshortcuts">
    <w:name w:val="yshortcuts"/>
    <w:basedOn w:val="DefaultParagraphFont"/>
    <w:rsid w:val="00405AD3"/>
  </w:style>
  <w:style w:type="character" w:customStyle="1" w:styleId="Heading1Char">
    <w:name w:val="Heading 1 Char"/>
    <w:basedOn w:val="DefaultParagraphFont"/>
    <w:link w:val="Heading1"/>
    <w:uiPriority w:val="9"/>
    <w:rsid w:val="0084417A"/>
    <w:rPr>
      <w:rFonts w:ascii="Times New Roman" w:eastAsia="Times New Roman" w:hAnsi="Times New Roman" w:cs="Times New Roman"/>
      <w:b/>
      <w:bCs/>
      <w:color w:val="000000"/>
      <w:kern w:val="36"/>
      <w:sz w:val="33"/>
      <w:szCs w:val="33"/>
    </w:rPr>
  </w:style>
  <w:style w:type="paragraph" w:styleId="NormalWeb">
    <w:name w:val="Normal (Web)"/>
    <w:basedOn w:val="Normal"/>
    <w:uiPriority w:val="99"/>
    <w:semiHidden/>
    <w:unhideWhenUsed/>
    <w:rsid w:val="0084417A"/>
    <w:pPr>
      <w:widowControl/>
      <w:autoSpaceDE/>
      <w:autoSpaceDN/>
      <w:adjustRightInd/>
      <w:spacing w:before="150" w:after="150"/>
    </w:pPr>
    <w:rPr>
      <w:sz w:val="18"/>
      <w:szCs w:val="18"/>
    </w:rPr>
  </w:style>
  <w:style w:type="paragraph" w:styleId="ListParagraph">
    <w:name w:val="List Paragraph"/>
    <w:basedOn w:val="Normal"/>
    <w:uiPriority w:val="34"/>
    <w:qFormat/>
    <w:rsid w:val="0084417A"/>
    <w:pPr>
      <w:ind w:left="720"/>
      <w:contextualSpacing/>
    </w:pPr>
  </w:style>
</w:styles>
</file>

<file path=word/webSettings.xml><?xml version="1.0" encoding="utf-8"?>
<w:webSettings xmlns:r="http://schemas.openxmlformats.org/officeDocument/2006/relationships" xmlns:w="http://schemas.openxmlformats.org/wordprocessingml/2006/main">
  <w:divs>
    <w:div w:id="2006129376">
      <w:bodyDiv w:val="1"/>
      <w:marLeft w:val="0"/>
      <w:marRight w:val="0"/>
      <w:marTop w:val="0"/>
      <w:marBottom w:val="0"/>
      <w:divBdr>
        <w:top w:val="none" w:sz="0" w:space="0" w:color="auto"/>
        <w:left w:val="none" w:sz="0" w:space="0" w:color="auto"/>
        <w:bottom w:val="none" w:sz="0" w:space="0" w:color="auto"/>
        <w:right w:val="none" w:sz="0" w:space="0" w:color="auto"/>
      </w:divBdr>
      <w:divsChild>
        <w:div w:id="1243832730">
          <w:marLeft w:val="0"/>
          <w:marRight w:val="0"/>
          <w:marTop w:val="0"/>
          <w:marBottom w:val="0"/>
          <w:divBdr>
            <w:top w:val="none" w:sz="0" w:space="0" w:color="auto"/>
            <w:left w:val="none" w:sz="0" w:space="0" w:color="auto"/>
            <w:bottom w:val="none" w:sz="0" w:space="0" w:color="auto"/>
            <w:right w:val="none" w:sz="0" w:space="0" w:color="auto"/>
          </w:divBdr>
          <w:divsChild>
            <w:div w:id="1582370085">
              <w:marLeft w:val="0"/>
              <w:marRight w:val="0"/>
              <w:marTop w:val="0"/>
              <w:marBottom w:val="0"/>
              <w:divBdr>
                <w:top w:val="none" w:sz="0" w:space="0" w:color="auto"/>
                <w:left w:val="none" w:sz="0" w:space="0" w:color="auto"/>
                <w:bottom w:val="none" w:sz="0" w:space="0" w:color="auto"/>
                <w:right w:val="none" w:sz="0" w:space="0" w:color="auto"/>
              </w:divBdr>
              <w:divsChild>
                <w:div w:id="297692307">
                  <w:marLeft w:val="0"/>
                  <w:marRight w:val="0"/>
                  <w:marTop w:val="0"/>
                  <w:marBottom w:val="0"/>
                  <w:divBdr>
                    <w:top w:val="none" w:sz="0" w:space="0" w:color="auto"/>
                    <w:left w:val="none" w:sz="0" w:space="0" w:color="auto"/>
                    <w:bottom w:val="none" w:sz="0" w:space="0" w:color="auto"/>
                    <w:right w:val="none" w:sz="0" w:space="0" w:color="auto"/>
                  </w:divBdr>
                  <w:divsChild>
                    <w:div w:id="1246189514">
                      <w:marLeft w:val="300"/>
                      <w:marRight w:val="0"/>
                      <w:marTop w:val="150"/>
                      <w:marBottom w:val="150"/>
                      <w:divBdr>
                        <w:top w:val="none" w:sz="0" w:space="0" w:color="auto"/>
                        <w:left w:val="none" w:sz="0" w:space="0" w:color="auto"/>
                        <w:bottom w:val="none" w:sz="0" w:space="0" w:color="auto"/>
                        <w:right w:val="none" w:sz="0" w:space="0" w:color="auto"/>
                      </w:divBdr>
                      <w:divsChild>
                        <w:div w:id="1451777653">
                          <w:marLeft w:val="0"/>
                          <w:marRight w:val="0"/>
                          <w:marTop w:val="0"/>
                          <w:marBottom w:val="0"/>
                          <w:divBdr>
                            <w:top w:val="none" w:sz="0" w:space="0" w:color="auto"/>
                            <w:left w:val="none" w:sz="0" w:space="0" w:color="auto"/>
                            <w:bottom w:val="none" w:sz="0" w:space="0" w:color="auto"/>
                            <w:right w:val="none" w:sz="0" w:space="0" w:color="auto"/>
                          </w:divBdr>
                          <w:divsChild>
                            <w:div w:id="2048286375">
                              <w:marLeft w:val="0"/>
                              <w:marRight w:val="0"/>
                              <w:marTop w:val="0"/>
                              <w:marBottom w:val="0"/>
                              <w:divBdr>
                                <w:top w:val="none" w:sz="0" w:space="0" w:color="auto"/>
                                <w:left w:val="none" w:sz="0" w:space="0" w:color="auto"/>
                                <w:bottom w:val="none" w:sz="0" w:space="0" w:color="auto"/>
                                <w:right w:val="none" w:sz="0" w:space="0" w:color="auto"/>
                              </w:divBdr>
                              <w:divsChild>
                                <w:div w:id="789863507">
                                  <w:marLeft w:val="0"/>
                                  <w:marRight w:val="0"/>
                                  <w:marTop w:val="0"/>
                                  <w:marBottom w:val="0"/>
                                  <w:divBdr>
                                    <w:top w:val="none" w:sz="0" w:space="0" w:color="auto"/>
                                    <w:left w:val="none" w:sz="0" w:space="0" w:color="auto"/>
                                    <w:bottom w:val="none" w:sz="0" w:space="0" w:color="auto"/>
                                    <w:right w:val="none" w:sz="0" w:space="0" w:color="auto"/>
                                  </w:divBdr>
                                  <w:divsChild>
                                    <w:div w:id="1867865376">
                                      <w:marLeft w:val="0"/>
                                      <w:marRight w:val="0"/>
                                      <w:marTop w:val="0"/>
                                      <w:marBottom w:val="0"/>
                                      <w:divBdr>
                                        <w:top w:val="none" w:sz="0" w:space="0" w:color="auto"/>
                                        <w:left w:val="none" w:sz="0" w:space="0" w:color="auto"/>
                                        <w:bottom w:val="none" w:sz="0" w:space="0" w:color="auto"/>
                                        <w:right w:val="none" w:sz="0" w:space="0" w:color="auto"/>
                                      </w:divBdr>
                                      <w:divsChild>
                                        <w:div w:id="1890915839">
                                          <w:marLeft w:val="0"/>
                                          <w:marRight w:val="0"/>
                                          <w:marTop w:val="0"/>
                                          <w:marBottom w:val="0"/>
                                          <w:divBdr>
                                            <w:top w:val="none" w:sz="0" w:space="0" w:color="auto"/>
                                            <w:left w:val="none" w:sz="0" w:space="0" w:color="auto"/>
                                            <w:bottom w:val="none" w:sz="0" w:space="0" w:color="auto"/>
                                            <w:right w:val="none" w:sz="0" w:space="0" w:color="auto"/>
                                          </w:divBdr>
                                          <w:divsChild>
                                            <w:div w:id="1596549103">
                                              <w:marLeft w:val="0"/>
                                              <w:marRight w:val="0"/>
                                              <w:marTop w:val="0"/>
                                              <w:marBottom w:val="0"/>
                                              <w:divBdr>
                                                <w:top w:val="none" w:sz="0" w:space="0" w:color="auto"/>
                                                <w:left w:val="none" w:sz="0" w:space="0" w:color="auto"/>
                                                <w:bottom w:val="none" w:sz="0" w:space="0" w:color="auto"/>
                                                <w:right w:val="none" w:sz="0" w:space="0" w:color="auto"/>
                                              </w:divBdr>
                                              <w:divsChild>
                                                <w:div w:id="289284344">
                                                  <w:marLeft w:val="0"/>
                                                  <w:marRight w:val="0"/>
                                                  <w:marTop w:val="0"/>
                                                  <w:marBottom w:val="0"/>
                                                  <w:divBdr>
                                                    <w:top w:val="none" w:sz="0" w:space="0" w:color="auto"/>
                                                    <w:left w:val="none" w:sz="0" w:space="0" w:color="auto"/>
                                                    <w:bottom w:val="none" w:sz="0" w:space="0" w:color="auto"/>
                                                    <w:right w:val="none" w:sz="0" w:space="0" w:color="auto"/>
                                                  </w:divBdr>
                                                  <w:divsChild>
                                                    <w:div w:id="796531908">
                                                      <w:marLeft w:val="0"/>
                                                      <w:marRight w:val="0"/>
                                                      <w:marTop w:val="0"/>
                                                      <w:marBottom w:val="0"/>
                                                      <w:divBdr>
                                                        <w:top w:val="none" w:sz="0" w:space="0" w:color="auto"/>
                                                        <w:left w:val="none" w:sz="0" w:space="0" w:color="auto"/>
                                                        <w:bottom w:val="none" w:sz="0" w:space="0" w:color="auto"/>
                                                        <w:right w:val="none" w:sz="0" w:space="0" w:color="auto"/>
                                                      </w:divBdr>
                                                      <w:divsChild>
                                                        <w:div w:id="1658538534">
                                                          <w:marLeft w:val="0"/>
                                                          <w:marRight w:val="0"/>
                                                          <w:marTop w:val="0"/>
                                                          <w:marBottom w:val="0"/>
                                                          <w:divBdr>
                                                            <w:top w:val="none" w:sz="0" w:space="0" w:color="auto"/>
                                                            <w:left w:val="none" w:sz="0" w:space="0" w:color="auto"/>
                                                            <w:bottom w:val="none" w:sz="0" w:space="0" w:color="auto"/>
                                                            <w:right w:val="none" w:sz="0" w:space="0" w:color="auto"/>
                                                          </w:divBdr>
                                                          <w:divsChild>
                                                            <w:div w:id="1596396381">
                                                              <w:marLeft w:val="0"/>
                                                              <w:marRight w:val="0"/>
                                                              <w:marTop w:val="0"/>
                                                              <w:marBottom w:val="0"/>
                                                              <w:divBdr>
                                                                <w:top w:val="none" w:sz="0" w:space="0" w:color="auto"/>
                                                                <w:left w:val="none" w:sz="0" w:space="0" w:color="auto"/>
                                                                <w:bottom w:val="none" w:sz="0" w:space="0" w:color="auto"/>
                                                                <w:right w:val="none" w:sz="0" w:space="0" w:color="auto"/>
                                                              </w:divBdr>
                                                              <w:divsChild>
                                                                <w:div w:id="1900285578">
                                                                  <w:marLeft w:val="0"/>
                                                                  <w:marRight w:val="0"/>
                                                                  <w:marTop w:val="0"/>
                                                                  <w:marBottom w:val="0"/>
                                                                  <w:divBdr>
                                                                    <w:top w:val="none" w:sz="0" w:space="0" w:color="auto"/>
                                                                    <w:left w:val="none" w:sz="0" w:space="0" w:color="auto"/>
                                                                    <w:bottom w:val="none" w:sz="0" w:space="0" w:color="auto"/>
                                                                    <w:right w:val="none" w:sz="0" w:space="0" w:color="auto"/>
                                                                  </w:divBdr>
                                                                  <w:divsChild>
                                                                    <w:div w:id="214776756">
                                                                      <w:marLeft w:val="0"/>
                                                                      <w:marRight w:val="0"/>
                                                                      <w:marTop w:val="0"/>
                                                                      <w:marBottom w:val="0"/>
                                                                      <w:divBdr>
                                                                        <w:top w:val="none" w:sz="0" w:space="0" w:color="auto"/>
                                                                        <w:left w:val="none" w:sz="0" w:space="0" w:color="auto"/>
                                                                        <w:bottom w:val="none" w:sz="0" w:space="0" w:color="auto"/>
                                                                        <w:right w:val="none" w:sz="0" w:space="0" w:color="auto"/>
                                                                      </w:divBdr>
                                                                      <w:divsChild>
                                                                        <w:div w:id="436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aobus.org/Standards/Pages/default.aspx" TargetMode="External"/><Relationship Id="rId13" Type="http://schemas.openxmlformats.org/officeDocument/2006/relationships/hyperlink" Target="http://www.aicpa.org/About/Governance/Bylaws/Pages/index.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pcaobus.org/About/Pages/default.aspx" TargetMode="Externa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www.tsbpa.state.tx.us/"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caobus.org/Standards/EI/Pages/default.aspx" TargetMode="External"/><Relationship Id="rId14" Type="http://schemas.openxmlformats.org/officeDocument/2006/relationships/hyperlink" Target="http://www.aicpa.org/Research/Standards/CodeofConduct/Pages/default.aspx"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cp:lastModifiedBy>
  <cp:revision>3</cp:revision>
  <cp:lastPrinted>2009-02-28T14:27:00Z</cp:lastPrinted>
  <dcterms:created xsi:type="dcterms:W3CDTF">2012-02-15T19:14:00Z</dcterms:created>
  <dcterms:modified xsi:type="dcterms:W3CDTF">2012-02-15T19:22:00Z</dcterms:modified>
</cp:coreProperties>
</file>